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1DB" w:rsidRDefault="003F20CF" w:rsidP="00F171DB">
      <w:pPr>
        <w:pStyle w:val="CoverHeader"/>
        <w:jc w:val="center"/>
        <w:rPr>
          <w:sz w:val="48"/>
          <w:szCs w:val="48"/>
        </w:rPr>
      </w:pPr>
      <w:bookmarkStart w:id="0" w:name="_GoBack"/>
      <w:bookmarkEnd w:id="0"/>
      <w:r>
        <w:rPr>
          <w:sz w:val="48"/>
          <w:szCs w:val="48"/>
        </w:rPr>
        <w:t xml:space="preserve">The Natalie M. Laprade MarylaND Medical Cannabis Commission’s (MMCC) </w:t>
      </w:r>
      <w:r w:rsidR="00CD306B">
        <w:rPr>
          <w:sz w:val="48"/>
          <w:szCs w:val="48"/>
        </w:rPr>
        <w:t xml:space="preserve">technical </w:t>
      </w:r>
      <w:r w:rsidR="009B4836">
        <w:rPr>
          <w:sz w:val="48"/>
          <w:szCs w:val="48"/>
        </w:rPr>
        <w:t>Authority</w:t>
      </w:r>
      <w:r w:rsidR="00F171DB">
        <w:rPr>
          <w:sz w:val="48"/>
          <w:szCs w:val="48"/>
        </w:rPr>
        <w:t xml:space="preserve"> for medical cannabis testin</w:t>
      </w:r>
      <w:r w:rsidR="00923735">
        <w:rPr>
          <w:sz w:val="48"/>
          <w:szCs w:val="48"/>
        </w:rPr>
        <w:t>G</w:t>
      </w:r>
    </w:p>
    <w:p w:rsidR="00DB2C50" w:rsidRPr="00F171DB" w:rsidRDefault="00F171DB" w:rsidP="00F171DB">
      <w:pPr>
        <w:pStyle w:val="CoverHeader"/>
        <w:jc w:val="center"/>
        <w:rPr>
          <w:sz w:val="48"/>
          <w:szCs w:val="48"/>
        </w:rPr>
      </w:pPr>
      <w:r>
        <w:rPr>
          <w:sz w:val="48"/>
          <w:szCs w:val="48"/>
        </w:rPr>
        <w:t xml:space="preserve">  </w:t>
      </w:r>
      <w:r w:rsidR="00F65309" w:rsidRPr="00F171DB">
        <w:rPr>
          <w:color w:val="2E74B5" w:themeColor="accent1" w:themeShade="BF"/>
          <w:sz w:val="32"/>
          <w:szCs w:val="32"/>
        </w:rPr>
        <w:t xml:space="preserve">FINAL </w:t>
      </w:r>
      <w:r w:rsidR="00DB2C50" w:rsidRPr="00F171DB">
        <w:rPr>
          <w:color w:val="2E74B5" w:themeColor="accent1" w:themeShade="BF"/>
          <w:sz w:val="32"/>
          <w:szCs w:val="32"/>
        </w:rPr>
        <w:t>DRAFT</w:t>
      </w:r>
      <w:r w:rsidRPr="00F171DB">
        <w:rPr>
          <w:color w:val="2E74B5" w:themeColor="accent1" w:themeShade="BF"/>
          <w:sz w:val="32"/>
          <w:szCs w:val="32"/>
        </w:rPr>
        <w:t xml:space="preserve"> Revision 1</w:t>
      </w:r>
    </w:p>
    <w:p w:rsidR="00BC3D7E" w:rsidRPr="00BC3D7E" w:rsidRDefault="00BC3D7E" w:rsidP="001F71E1">
      <w:pPr>
        <w:pStyle w:val="CoverHeader2"/>
        <w:ind w:left="2880" w:firstLine="720"/>
      </w:pPr>
      <w:r>
        <w:rPr>
          <w:sz w:val="32"/>
          <w:szCs w:val="32"/>
        </w:rPr>
        <w:t xml:space="preserve">      </w:t>
      </w:r>
      <w:r w:rsidR="00F171DB">
        <w:t>January 19, 2018</w:t>
      </w:r>
    </w:p>
    <w:p w:rsidR="00DB2C50" w:rsidRDefault="00DB2C50" w:rsidP="00DB2C50"/>
    <w:p w:rsidR="00A33D14" w:rsidRDefault="00A33D14" w:rsidP="005F56FE">
      <w:pPr>
        <w:jc w:val="center"/>
      </w:pPr>
      <w:r>
        <w:t xml:space="preserve">The MMCC has provided this </w:t>
      </w:r>
      <w:r w:rsidR="003F20CF">
        <w:t>report</w:t>
      </w:r>
      <w:r>
        <w:t xml:space="preserve"> to </w:t>
      </w:r>
      <w:r w:rsidR="003F20CF">
        <w:t xml:space="preserve">define </w:t>
      </w:r>
      <w:r>
        <w:t xml:space="preserve">contaminants and corresponding action limits associated with those contaminants in medical cannabis.  This information is intended for the independent testing laboratories registered by the </w:t>
      </w:r>
      <w:r w:rsidR="00DB2C50">
        <w:t>MMCC</w:t>
      </w:r>
      <w:r>
        <w:t>.</w:t>
      </w:r>
    </w:p>
    <w:p w:rsidR="00A33D14" w:rsidRDefault="00A33D14" w:rsidP="005F56FE">
      <w:pPr>
        <w:pStyle w:val="noparatext"/>
        <w:jc w:val="center"/>
      </w:pPr>
    </w:p>
    <w:p w:rsidR="003D1931" w:rsidRDefault="003D1931" w:rsidP="005F56FE">
      <w:pPr>
        <w:pStyle w:val="noparatext"/>
        <w:jc w:val="center"/>
      </w:pPr>
    </w:p>
    <w:p w:rsidR="003D1931" w:rsidRDefault="003D1931" w:rsidP="005F56FE">
      <w:pPr>
        <w:pStyle w:val="noparatext"/>
        <w:jc w:val="center"/>
      </w:pPr>
    </w:p>
    <w:p w:rsidR="003D1931" w:rsidRDefault="003D1931" w:rsidP="005F56FE">
      <w:pPr>
        <w:pStyle w:val="noparatext"/>
        <w:jc w:val="center"/>
      </w:pPr>
    </w:p>
    <w:p w:rsidR="003D1931" w:rsidRDefault="003D1931" w:rsidP="005F56FE">
      <w:pPr>
        <w:pStyle w:val="noparatext"/>
        <w:jc w:val="center"/>
      </w:pPr>
    </w:p>
    <w:p w:rsidR="003D1931" w:rsidRDefault="003D1931" w:rsidP="005F56FE">
      <w:pPr>
        <w:pStyle w:val="noparatext"/>
        <w:jc w:val="center"/>
      </w:pPr>
    </w:p>
    <w:p w:rsidR="003D1931" w:rsidRDefault="003D1931" w:rsidP="005F56FE">
      <w:pPr>
        <w:pStyle w:val="noparatext"/>
        <w:jc w:val="center"/>
      </w:pPr>
    </w:p>
    <w:p w:rsidR="003D1931" w:rsidRDefault="003D1931" w:rsidP="005F56FE">
      <w:pPr>
        <w:pStyle w:val="noparatext"/>
        <w:jc w:val="center"/>
      </w:pPr>
    </w:p>
    <w:p w:rsidR="003D1931" w:rsidRDefault="003D1931" w:rsidP="005F56FE">
      <w:pPr>
        <w:pStyle w:val="noparatext"/>
        <w:jc w:val="center"/>
      </w:pPr>
    </w:p>
    <w:p w:rsidR="003D1931" w:rsidRDefault="003D1931" w:rsidP="005F56FE">
      <w:pPr>
        <w:pStyle w:val="noparatext"/>
        <w:jc w:val="center"/>
      </w:pPr>
    </w:p>
    <w:p w:rsidR="003D1931" w:rsidRDefault="003D1931" w:rsidP="005F56FE">
      <w:pPr>
        <w:pStyle w:val="noparatext"/>
        <w:jc w:val="center"/>
      </w:pPr>
    </w:p>
    <w:p w:rsidR="003D1931" w:rsidRDefault="003D1931" w:rsidP="005F56FE">
      <w:pPr>
        <w:pStyle w:val="noparatext"/>
        <w:jc w:val="center"/>
      </w:pPr>
    </w:p>
    <w:p w:rsidR="003D1931" w:rsidRDefault="003D1931" w:rsidP="005F56FE">
      <w:pPr>
        <w:pStyle w:val="noparatext"/>
        <w:jc w:val="center"/>
      </w:pPr>
    </w:p>
    <w:p w:rsidR="00A33D14" w:rsidRDefault="00297E41" w:rsidP="005F56FE">
      <w:pPr>
        <w:pStyle w:val="noparatext"/>
        <w:jc w:val="center"/>
      </w:pPr>
      <w:r>
        <w:t>AUTHOR:</w:t>
      </w:r>
    </w:p>
    <w:p w:rsidR="00A33D14" w:rsidRDefault="00297E41" w:rsidP="005F56FE">
      <w:pPr>
        <w:pStyle w:val="noparatext"/>
        <w:jc w:val="center"/>
      </w:pPr>
      <w:r>
        <w:t xml:space="preserve">LORI DODSON, MS, </w:t>
      </w:r>
      <w:proofErr w:type="gramStart"/>
      <w:r>
        <w:t>MT(</w:t>
      </w:r>
      <w:proofErr w:type="gramEnd"/>
      <w:r>
        <w:t>ASCP)</w:t>
      </w:r>
    </w:p>
    <w:p w:rsidR="00297E41" w:rsidRDefault="00923735" w:rsidP="005F56FE">
      <w:pPr>
        <w:pStyle w:val="noparatext"/>
        <w:jc w:val="center"/>
      </w:pPr>
      <w:r>
        <w:t>DEPUTY DIRECTOR/DIRECTOR OF LABORATORY COMPLIANCE</w:t>
      </w:r>
    </w:p>
    <w:p w:rsidR="00297E41" w:rsidRDefault="00297E41" w:rsidP="005F56FE">
      <w:pPr>
        <w:pStyle w:val="noparatext"/>
        <w:jc w:val="center"/>
      </w:pPr>
      <w:r>
        <w:t>NATALIE</w:t>
      </w:r>
      <w:r w:rsidR="00A33D14">
        <w:t xml:space="preserve"> M.</w:t>
      </w:r>
      <w:r>
        <w:t xml:space="preserve"> LAPRADE </w:t>
      </w:r>
      <w:r w:rsidR="00A33D14">
        <w:t xml:space="preserve">MARYLAND </w:t>
      </w:r>
      <w:r>
        <w:t>MEDICAL CANNABIS COMMISSION</w:t>
      </w:r>
    </w:p>
    <w:p w:rsidR="00297E41" w:rsidRDefault="00297E41" w:rsidP="005F56FE">
      <w:pPr>
        <w:pStyle w:val="noparatext"/>
        <w:jc w:val="center"/>
      </w:pPr>
      <w:r>
        <w:t>STATE OF MARYLAND</w:t>
      </w:r>
    </w:p>
    <w:p w:rsidR="002B05F4" w:rsidRDefault="00923735" w:rsidP="005F56FE">
      <w:pPr>
        <w:pStyle w:val="noparatext"/>
        <w:jc w:val="center"/>
      </w:pPr>
      <w:r>
        <w:t>MARYLAND DEPARTENT OF HEALTH</w:t>
      </w:r>
    </w:p>
    <w:p w:rsidR="00A33D14" w:rsidRDefault="00A33D14" w:rsidP="00DB2C50">
      <w:pPr>
        <w:pStyle w:val="Heading1"/>
        <w:sectPr w:rsidR="00A33D14">
          <w:pgSz w:w="12240" w:h="15840" w:code="1"/>
          <w:pgMar w:top="1440" w:right="1440" w:bottom="1440" w:left="1440" w:header="720" w:footer="864" w:gutter="0"/>
          <w:cols w:space="720"/>
          <w:docGrid w:linePitch="360"/>
        </w:sectPr>
      </w:pPr>
    </w:p>
    <w:p w:rsidR="002B05F4" w:rsidRDefault="00A33D14" w:rsidP="00895AD0">
      <w:pPr>
        <w:pStyle w:val="CoverHeader"/>
      </w:pPr>
      <w:r w:rsidRPr="00A33D14">
        <w:lastRenderedPageBreak/>
        <w:t>Acknowledgments:</w:t>
      </w:r>
    </w:p>
    <w:p w:rsidR="00DB2C50" w:rsidRDefault="00DB2C50" w:rsidP="00DB2C50">
      <w:r w:rsidRPr="00DB2C50">
        <w:t>The MMCC would like to thank the following individuals and organizations for their v</w:t>
      </w:r>
      <w:r>
        <w:t>aluable contributions to this do</w:t>
      </w:r>
      <w:r w:rsidRPr="00DB2C50">
        <w:t xml:space="preserve">cument </w:t>
      </w:r>
      <w:r w:rsidR="00BF0B84">
        <w:t xml:space="preserve">through their work on </w:t>
      </w:r>
      <w:r w:rsidRPr="00DB2C50">
        <w:t>the development of medic</w:t>
      </w:r>
      <w:r>
        <w:t>al cannabis testing in Maryland:</w:t>
      </w:r>
    </w:p>
    <w:p w:rsidR="00A33D14" w:rsidRPr="00A33D14" w:rsidRDefault="00A33D14" w:rsidP="00DB2C50">
      <w:pPr>
        <w:pStyle w:val="noparatext"/>
      </w:pPr>
      <w:r w:rsidRPr="00A33D14">
        <w:t>Tom Phillips, MRSC, Fellow AOACI</w:t>
      </w:r>
    </w:p>
    <w:p w:rsidR="00A33D14" w:rsidRPr="00A33D14" w:rsidRDefault="00A33D14" w:rsidP="00DB2C50">
      <w:pPr>
        <w:pStyle w:val="noparatext"/>
      </w:pPr>
      <w:r w:rsidRPr="00A33D14">
        <w:t xml:space="preserve">Program Manager/State Chemist </w:t>
      </w:r>
    </w:p>
    <w:p w:rsidR="00A33D14" w:rsidRPr="00A33D14" w:rsidRDefault="00A33D14" w:rsidP="00DB2C50">
      <w:pPr>
        <w:pStyle w:val="noparatext"/>
      </w:pPr>
      <w:r w:rsidRPr="00A33D14">
        <w:t>State Chemist Section</w:t>
      </w:r>
    </w:p>
    <w:p w:rsidR="00A33D14" w:rsidRPr="00A33D14" w:rsidRDefault="00A33D14" w:rsidP="00DB2C50">
      <w:pPr>
        <w:pStyle w:val="noparatext"/>
      </w:pPr>
      <w:r w:rsidRPr="00A33D14">
        <w:t>Maryland Department of Agriculture</w:t>
      </w:r>
    </w:p>
    <w:p w:rsidR="00A33D14" w:rsidRPr="00A33D14" w:rsidRDefault="00A33D14" w:rsidP="00DB2C50">
      <w:pPr>
        <w:pStyle w:val="noparatext"/>
      </w:pPr>
      <w:r w:rsidRPr="00A33D14">
        <w:t xml:space="preserve"> </w:t>
      </w:r>
    </w:p>
    <w:p w:rsidR="00A33D14" w:rsidRPr="00A33D14" w:rsidRDefault="00A33D14" w:rsidP="00DB2C50">
      <w:pPr>
        <w:pStyle w:val="noparatext"/>
      </w:pPr>
      <w:r w:rsidRPr="00A33D14">
        <w:t xml:space="preserve">Prince </w:t>
      </w:r>
      <w:proofErr w:type="spellStart"/>
      <w:r w:rsidRPr="00A33D14">
        <w:t>Kassim</w:t>
      </w:r>
      <w:proofErr w:type="spellEnd"/>
      <w:r w:rsidRPr="00A33D14">
        <w:t>, Ph.D.</w:t>
      </w:r>
    </w:p>
    <w:p w:rsidR="00A33D14" w:rsidRPr="00A33D14" w:rsidRDefault="00A33D14" w:rsidP="00DB2C50">
      <w:pPr>
        <w:pStyle w:val="noparatext"/>
      </w:pPr>
      <w:r w:rsidRPr="00A33D14">
        <w:t>Deputy Director for Scientific Programs</w:t>
      </w:r>
    </w:p>
    <w:p w:rsidR="00A33D14" w:rsidRPr="00A33D14" w:rsidRDefault="00A33D14" w:rsidP="00DB2C50">
      <w:pPr>
        <w:pStyle w:val="noparatext"/>
      </w:pPr>
      <w:r w:rsidRPr="00A33D14">
        <w:t>Div</w:t>
      </w:r>
      <w:r w:rsidR="009A1BC5">
        <w:t>ision of Environmental Sciences</w:t>
      </w:r>
    </w:p>
    <w:p w:rsidR="00A33D14" w:rsidRPr="00A33D14" w:rsidRDefault="00A33D14" w:rsidP="00DB2C50">
      <w:pPr>
        <w:pStyle w:val="noparatext"/>
      </w:pPr>
      <w:r w:rsidRPr="00A33D14">
        <w:t>DHMH-Laboratories Administration</w:t>
      </w:r>
    </w:p>
    <w:p w:rsidR="00A33D14" w:rsidRPr="00A33D14" w:rsidRDefault="00A33D14" w:rsidP="00DB2C50">
      <w:pPr>
        <w:pStyle w:val="noparatext"/>
      </w:pPr>
      <w:r w:rsidRPr="00A33D14">
        <w:t xml:space="preserve"> </w:t>
      </w:r>
    </w:p>
    <w:p w:rsidR="00A33D14" w:rsidRPr="00A33D14" w:rsidRDefault="00A33D14" w:rsidP="00DB2C50">
      <w:pPr>
        <w:pStyle w:val="noparatext"/>
      </w:pPr>
      <w:r w:rsidRPr="00A33D14">
        <w:t>Monica Saunders</w:t>
      </w:r>
    </w:p>
    <w:p w:rsidR="00A33D14" w:rsidRPr="00A33D14" w:rsidRDefault="00A33D14" w:rsidP="00DB2C50">
      <w:pPr>
        <w:pStyle w:val="noparatext"/>
      </w:pPr>
      <w:r w:rsidRPr="00A33D14">
        <w:t>Quality Assurance Office</w:t>
      </w:r>
    </w:p>
    <w:p w:rsidR="00A33D14" w:rsidRPr="00A33D14" w:rsidRDefault="00A33D14" w:rsidP="00DB2C50">
      <w:pPr>
        <w:pStyle w:val="noparatext"/>
      </w:pPr>
      <w:r w:rsidRPr="00A33D14">
        <w:t>Div</w:t>
      </w:r>
      <w:r w:rsidR="009A1BC5">
        <w:t>ision of Environmental Sciences</w:t>
      </w:r>
    </w:p>
    <w:p w:rsidR="00BF0B84" w:rsidRDefault="00A33D14" w:rsidP="00BF0B84">
      <w:pPr>
        <w:pStyle w:val="noparatext"/>
      </w:pPr>
      <w:r w:rsidRPr="00A33D14">
        <w:t>DHMH-Laboratories Administration</w:t>
      </w:r>
    </w:p>
    <w:p w:rsidR="00BF0B84" w:rsidRDefault="00BF0B84" w:rsidP="00BF0B84">
      <w:pPr>
        <w:pStyle w:val="noparatext"/>
      </w:pPr>
    </w:p>
    <w:p w:rsidR="00BF0B84" w:rsidRDefault="00BF0B84" w:rsidP="00BF0B84">
      <w:pPr>
        <w:pStyle w:val="noparatext"/>
      </w:pPr>
      <w:r>
        <w:t>Eric E. Sterling, Esq.</w:t>
      </w:r>
    </w:p>
    <w:p w:rsidR="00BF0B84" w:rsidRDefault="00BF0B84" w:rsidP="00BF0B84">
      <w:pPr>
        <w:pStyle w:val="noparatext"/>
      </w:pPr>
      <w:r>
        <w:t>Policy Committee Chair and Executive Committee</w:t>
      </w:r>
    </w:p>
    <w:p w:rsidR="00BF0B84" w:rsidRDefault="00BF0B84" w:rsidP="00BF0B84">
      <w:pPr>
        <w:pStyle w:val="noparatext"/>
      </w:pPr>
      <w:r>
        <w:t>Maryland Medical Cannabis Commission</w:t>
      </w:r>
    </w:p>
    <w:p w:rsidR="00BF0B84" w:rsidRDefault="00BF0B84" w:rsidP="00BF0B84">
      <w:pPr>
        <w:pStyle w:val="noparatext"/>
      </w:pPr>
    </w:p>
    <w:p w:rsidR="00BF0B84" w:rsidRDefault="00BF0B84" w:rsidP="00BF0B84">
      <w:pPr>
        <w:pStyle w:val="noparatext"/>
      </w:pPr>
      <w:r>
        <w:t>Shannon Moore</w:t>
      </w:r>
    </w:p>
    <w:p w:rsidR="00BF0B84" w:rsidRDefault="00BF0B84" w:rsidP="00BF0B84">
      <w:pPr>
        <w:pStyle w:val="noparatext"/>
      </w:pPr>
      <w:r>
        <w:t>Executive Committee, Policy Committee and Enforcement Committee</w:t>
      </w:r>
    </w:p>
    <w:p w:rsidR="00BF0B84" w:rsidRDefault="00BF0B84" w:rsidP="00BF0B84">
      <w:pPr>
        <w:pStyle w:val="noparatext"/>
      </w:pPr>
      <w:r>
        <w:t>Maryland Medical Cannabis Commission</w:t>
      </w:r>
    </w:p>
    <w:p w:rsidR="00BF0B84" w:rsidRDefault="00BF0B84" w:rsidP="00BF0B84">
      <w:pPr>
        <w:pStyle w:val="noparatext"/>
      </w:pPr>
    </w:p>
    <w:p w:rsidR="00BF0B84" w:rsidRDefault="00BF0B84" w:rsidP="00BF0B84">
      <w:pPr>
        <w:pStyle w:val="noparatext"/>
      </w:pPr>
      <w:r w:rsidRPr="00BF0B84">
        <w:t xml:space="preserve">Cristina </w:t>
      </w:r>
      <w:proofErr w:type="spellStart"/>
      <w:r w:rsidRPr="00BF0B84">
        <w:t>Gouin</w:t>
      </w:r>
      <w:proofErr w:type="spellEnd"/>
      <w:r w:rsidRPr="00BF0B84">
        <w:t>-Paul</w:t>
      </w:r>
    </w:p>
    <w:p w:rsidR="00BF0B84" w:rsidRDefault="00BF0B84" w:rsidP="00BF0B84">
      <w:pPr>
        <w:pStyle w:val="noparatext"/>
      </w:pPr>
      <w:r>
        <w:t xml:space="preserve">Policy Committee </w:t>
      </w:r>
    </w:p>
    <w:p w:rsidR="00BF0B84" w:rsidRDefault="00BF0B84" w:rsidP="00BF0B84">
      <w:pPr>
        <w:pStyle w:val="noparatext"/>
      </w:pPr>
      <w:r>
        <w:t>Maryland Medical Cannabis Commission</w:t>
      </w:r>
    </w:p>
    <w:p w:rsidR="00BF0B84" w:rsidRDefault="00BF0B84" w:rsidP="00BF0B84">
      <w:pPr>
        <w:pStyle w:val="noparatext"/>
      </w:pPr>
    </w:p>
    <w:p w:rsidR="00BF0B84" w:rsidRDefault="00BF0B84" w:rsidP="00BF0B84">
      <w:pPr>
        <w:pStyle w:val="noparatext"/>
      </w:pPr>
      <w:r w:rsidRPr="00BF0B84">
        <w:t xml:space="preserve">William C. Charles, </w:t>
      </w:r>
      <w:proofErr w:type="spellStart"/>
      <w:r w:rsidRPr="00BF0B84">
        <w:t>Pharm.D</w:t>
      </w:r>
      <w:proofErr w:type="spellEnd"/>
      <w:r w:rsidRPr="00BF0B84">
        <w:t>.</w:t>
      </w:r>
    </w:p>
    <w:p w:rsidR="00FD1F2D" w:rsidRDefault="00FD1F2D" w:rsidP="00FD1F2D">
      <w:pPr>
        <w:pStyle w:val="noparatext"/>
      </w:pPr>
      <w:r>
        <w:t xml:space="preserve">Policy Committee </w:t>
      </w:r>
    </w:p>
    <w:p w:rsidR="00FD1F2D" w:rsidRDefault="00FD1F2D" w:rsidP="00FD1F2D">
      <w:pPr>
        <w:pStyle w:val="noparatext"/>
      </w:pPr>
      <w:r>
        <w:t>Maryland Medical Cannabis Commission</w:t>
      </w:r>
    </w:p>
    <w:p w:rsidR="00FD1F2D" w:rsidRDefault="00FD1F2D" w:rsidP="00BF0B84">
      <w:pPr>
        <w:pStyle w:val="noparatext"/>
      </w:pPr>
    </w:p>
    <w:p w:rsidR="00982B9F" w:rsidRDefault="00982B9F" w:rsidP="00BF0B84">
      <w:pPr>
        <w:pStyle w:val="noparatext"/>
      </w:pPr>
    </w:p>
    <w:p w:rsidR="00982B9F" w:rsidRPr="00BF0B84" w:rsidRDefault="00982B9F" w:rsidP="00BF0B84">
      <w:pPr>
        <w:pStyle w:val="noparatext"/>
        <w:sectPr w:rsidR="00982B9F" w:rsidRPr="00BF0B84">
          <w:pgSz w:w="12240" w:h="15840" w:code="1"/>
          <w:pgMar w:top="1440" w:right="1440" w:bottom="1440" w:left="1440" w:header="720" w:footer="864" w:gutter="0"/>
          <w:cols w:space="720"/>
          <w:docGrid w:linePitch="360"/>
        </w:sectPr>
      </w:pPr>
    </w:p>
    <w:sdt>
      <w:sdtPr>
        <w:rPr>
          <w:rFonts w:asciiTheme="minorHAnsi" w:eastAsiaTheme="minorHAnsi" w:hAnsiTheme="minorHAnsi" w:cstheme="minorBidi"/>
          <w:color w:val="404040" w:themeColor="text1" w:themeTint="BF"/>
          <w:sz w:val="18"/>
          <w:szCs w:val="18"/>
          <w:lang w:eastAsia="ja-JP"/>
        </w:rPr>
        <w:id w:val="699198221"/>
        <w:docPartObj>
          <w:docPartGallery w:val="Table of Contents"/>
          <w:docPartUnique/>
        </w:docPartObj>
      </w:sdtPr>
      <w:sdtEndPr>
        <w:rPr>
          <w:b/>
          <w:bCs/>
          <w:noProof/>
        </w:rPr>
      </w:sdtEndPr>
      <w:sdtContent>
        <w:p w:rsidR="001F71E1" w:rsidRDefault="001F71E1">
          <w:pPr>
            <w:pStyle w:val="TOCHeading"/>
          </w:pPr>
          <w:r>
            <w:t>Table of Contents</w:t>
          </w:r>
        </w:p>
        <w:p w:rsidR="00E15264" w:rsidRPr="00E15264" w:rsidRDefault="00E15264">
          <w:pPr>
            <w:pStyle w:val="TOC1"/>
            <w:tabs>
              <w:tab w:val="right" w:leader="dot" w:pos="9350"/>
            </w:tabs>
            <w:rPr>
              <w:rFonts w:eastAsiaTheme="minorEastAsia"/>
              <w:noProof/>
              <w:color w:val="auto"/>
              <w:sz w:val="22"/>
              <w:szCs w:val="22"/>
              <w:lang w:eastAsia="en-US"/>
            </w:rPr>
          </w:pPr>
          <w:r>
            <w:fldChar w:fldCharType="begin"/>
          </w:r>
          <w:r>
            <w:instrText xml:space="preserve"> TOC \o "1-3" \h \z \u </w:instrText>
          </w:r>
          <w:r>
            <w:fldChar w:fldCharType="separate"/>
          </w:r>
          <w:hyperlink w:anchor="_Toc482256322" w:history="1">
            <w:r w:rsidRPr="00E15264">
              <w:rPr>
                <w:rStyle w:val="Hyperlink"/>
                <w:noProof/>
                <w:color w:val="auto"/>
                <w:u w:val="none"/>
              </w:rPr>
              <w:t>Introduction</w:t>
            </w:r>
            <w:r w:rsidRPr="00E15264">
              <w:rPr>
                <w:noProof/>
                <w:webHidden/>
                <w:color w:val="auto"/>
              </w:rPr>
              <w:tab/>
            </w:r>
            <w:r w:rsidRPr="00E15264">
              <w:rPr>
                <w:noProof/>
                <w:webHidden/>
                <w:color w:val="auto"/>
              </w:rPr>
              <w:fldChar w:fldCharType="begin"/>
            </w:r>
            <w:r w:rsidRPr="00E15264">
              <w:rPr>
                <w:noProof/>
                <w:webHidden/>
                <w:color w:val="auto"/>
              </w:rPr>
              <w:instrText xml:space="preserve"> PAGEREF _Toc482256322 \h </w:instrText>
            </w:r>
            <w:r w:rsidRPr="00E15264">
              <w:rPr>
                <w:noProof/>
                <w:webHidden/>
                <w:color w:val="auto"/>
              </w:rPr>
            </w:r>
            <w:r w:rsidRPr="00E15264">
              <w:rPr>
                <w:noProof/>
                <w:webHidden/>
                <w:color w:val="auto"/>
              </w:rPr>
              <w:fldChar w:fldCharType="separate"/>
            </w:r>
            <w:r w:rsidR="004C7329">
              <w:rPr>
                <w:noProof/>
                <w:webHidden/>
                <w:color w:val="auto"/>
              </w:rPr>
              <w:t>1</w:t>
            </w:r>
            <w:r w:rsidRPr="00E15264">
              <w:rPr>
                <w:noProof/>
                <w:webHidden/>
                <w:color w:val="auto"/>
              </w:rPr>
              <w:fldChar w:fldCharType="end"/>
            </w:r>
          </w:hyperlink>
        </w:p>
        <w:p w:rsidR="00E15264" w:rsidRPr="00E15264" w:rsidRDefault="001C7B50">
          <w:pPr>
            <w:pStyle w:val="TOC1"/>
            <w:tabs>
              <w:tab w:val="right" w:leader="dot" w:pos="9350"/>
            </w:tabs>
            <w:rPr>
              <w:rStyle w:val="Hyperlink"/>
              <w:noProof/>
              <w:color w:val="auto"/>
              <w:u w:val="none"/>
            </w:rPr>
          </w:pPr>
          <w:hyperlink w:anchor="_Toc482256323" w:history="1">
            <w:r w:rsidR="00E15264" w:rsidRPr="00E15264">
              <w:rPr>
                <w:rStyle w:val="Hyperlink"/>
                <w:noProof/>
                <w:color w:val="auto"/>
                <w:u w:val="none"/>
              </w:rPr>
              <w:t>Sampling</w:t>
            </w:r>
            <w:r w:rsidR="00E15264" w:rsidRPr="00E15264">
              <w:rPr>
                <w:noProof/>
                <w:webHidden/>
                <w:color w:val="auto"/>
              </w:rPr>
              <w:tab/>
            </w:r>
            <w:r w:rsidR="00E15264" w:rsidRPr="00E15264">
              <w:rPr>
                <w:noProof/>
                <w:webHidden/>
                <w:color w:val="auto"/>
              </w:rPr>
              <w:fldChar w:fldCharType="begin"/>
            </w:r>
            <w:r w:rsidR="00E15264" w:rsidRPr="00E15264">
              <w:rPr>
                <w:noProof/>
                <w:webHidden/>
                <w:color w:val="auto"/>
              </w:rPr>
              <w:instrText xml:space="preserve"> PAGEREF _Toc482256323 \h </w:instrText>
            </w:r>
            <w:r w:rsidR="00E15264" w:rsidRPr="00E15264">
              <w:rPr>
                <w:noProof/>
                <w:webHidden/>
                <w:color w:val="auto"/>
              </w:rPr>
            </w:r>
            <w:r w:rsidR="00E15264" w:rsidRPr="00E15264">
              <w:rPr>
                <w:noProof/>
                <w:webHidden/>
                <w:color w:val="auto"/>
              </w:rPr>
              <w:fldChar w:fldCharType="separate"/>
            </w:r>
            <w:r w:rsidR="004C7329">
              <w:rPr>
                <w:noProof/>
                <w:webHidden/>
                <w:color w:val="auto"/>
              </w:rPr>
              <w:t>2</w:t>
            </w:r>
            <w:r w:rsidR="00E15264" w:rsidRPr="00E15264">
              <w:rPr>
                <w:noProof/>
                <w:webHidden/>
                <w:color w:val="auto"/>
              </w:rPr>
              <w:fldChar w:fldCharType="end"/>
            </w:r>
          </w:hyperlink>
        </w:p>
        <w:p w:rsidR="00E15264" w:rsidRPr="00E15264" w:rsidRDefault="001C7B50" w:rsidP="00E15264">
          <w:pPr>
            <w:pStyle w:val="TOC1"/>
            <w:tabs>
              <w:tab w:val="right" w:leader="dot" w:pos="9350"/>
            </w:tabs>
            <w:rPr>
              <w:noProof/>
              <w:color w:val="auto"/>
            </w:rPr>
          </w:pPr>
          <w:hyperlink w:anchor="_Toc482256323" w:history="1">
            <w:r w:rsidR="00E15264" w:rsidRPr="00E15264">
              <w:rPr>
                <w:rStyle w:val="Hyperlink"/>
                <w:noProof/>
                <w:color w:val="auto"/>
                <w:u w:val="none"/>
              </w:rPr>
              <w:t>Collection</w:t>
            </w:r>
          </w:hyperlink>
          <w:r w:rsidR="00E15264" w:rsidRPr="00E15264">
            <w:rPr>
              <w:rStyle w:val="Hyperlink"/>
              <w:noProof/>
              <w:color w:val="auto"/>
              <w:u w:val="none"/>
            </w:rPr>
            <w:t xml:space="preserve"> Procedure for Laboratory Samples</w:t>
          </w:r>
          <w:r w:rsidR="00E15264" w:rsidRPr="00E15264">
            <w:rPr>
              <w:rStyle w:val="Hyperlink"/>
              <w:noProof/>
              <w:color w:val="auto"/>
              <w:u w:val="none"/>
            </w:rPr>
            <w:tab/>
            <w:t>3</w:t>
          </w:r>
        </w:p>
        <w:p w:rsidR="00E15264" w:rsidRPr="00E15264" w:rsidRDefault="00E15264" w:rsidP="00E15264">
          <w:pPr>
            <w:pStyle w:val="TOC1"/>
            <w:tabs>
              <w:tab w:val="right" w:leader="dot" w:pos="9350"/>
            </w:tabs>
            <w:rPr>
              <w:rStyle w:val="Hyperlink"/>
              <w:noProof/>
              <w:color w:val="auto"/>
              <w:u w:val="none"/>
            </w:rPr>
          </w:pPr>
          <w:r w:rsidRPr="00E15264">
            <w:rPr>
              <w:rStyle w:val="Hyperlink"/>
              <w:noProof/>
              <w:color w:val="auto"/>
              <w:u w:val="none"/>
            </w:rPr>
            <w:t>Pesticides</w:t>
          </w:r>
          <w:r w:rsidRPr="00E15264">
            <w:rPr>
              <w:rStyle w:val="Hyperlink"/>
              <w:noProof/>
              <w:color w:val="auto"/>
              <w:u w:val="none"/>
            </w:rPr>
            <w:tab/>
            <w:t>4</w:t>
          </w:r>
        </w:p>
        <w:p w:rsidR="00E15264" w:rsidRPr="00E15264" w:rsidRDefault="001C7B50">
          <w:pPr>
            <w:pStyle w:val="TOC1"/>
            <w:tabs>
              <w:tab w:val="right" w:leader="dot" w:pos="9350"/>
            </w:tabs>
            <w:rPr>
              <w:rFonts w:eastAsiaTheme="minorEastAsia"/>
              <w:noProof/>
              <w:color w:val="auto"/>
              <w:sz w:val="22"/>
              <w:szCs w:val="22"/>
              <w:lang w:eastAsia="en-US"/>
            </w:rPr>
          </w:pPr>
          <w:hyperlink w:anchor="_Toc482256324" w:history="1">
            <w:r w:rsidR="00E15264" w:rsidRPr="00E15264">
              <w:rPr>
                <w:rStyle w:val="Hyperlink"/>
                <w:noProof/>
                <w:color w:val="auto"/>
                <w:u w:val="none"/>
              </w:rPr>
              <w:t>Residual Solvents</w:t>
            </w:r>
            <w:r w:rsidR="00E15264" w:rsidRPr="00E15264">
              <w:rPr>
                <w:noProof/>
                <w:webHidden/>
                <w:color w:val="auto"/>
              </w:rPr>
              <w:tab/>
            </w:r>
            <w:r w:rsidR="00E15264" w:rsidRPr="00E15264">
              <w:rPr>
                <w:noProof/>
                <w:webHidden/>
                <w:color w:val="auto"/>
              </w:rPr>
              <w:fldChar w:fldCharType="begin"/>
            </w:r>
            <w:r w:rsidR="00E15264" w:rsidRPr="00E15264">
              <w:rPr>
                <w:noProof/>
                <w:webHidden/>
                <w:color w:val="auto"/>
              </w:rPr>
              <w:instrText xml:space="preserve"> PAGEREF _Toc482256324 \h </w:instrText>
            </w:r>
            <w:r w:rsidR="00E15264" w:rsidRPr="00E15264">
              <w:rPr>
                <w:noProof/>
                <w:webHidden/>
                <w:color w:val="auto"/>
              </w:rPr>
            </w:r>
            <w:r w:rsidR="00E15264" w:rsidRPr="00E15264">
              <w:rPr>
                <w:noProof/>
                <w:webHidden/>
                <w:color w:val="auto"/>
              </w:rPr>
              <w:fldChar w:fldCharType="separate"/>
            </w:r>
            <w:r w:rsidR="004C7329">
              <w:rPr>
                <w:noProof/>
                <w:webHidden/>
                <w:color w:val="auto"/>
              </w:rPr>
              <w:t>5</w:t>
            </w:r>
            <w:r w:rsidR="00E15264" w:rsidRPr="00E15264">
              <w:rPr>
                <w:noProof/>
                <w:webHidden/>
                <w:color w:val="auto"/>
              </w:rPr>
              <w:fldChar w:fldCharType="end"/>
            </w:r>
          </w:hyperlink>
        </w:p>
        <w:p w:rsidR="00E15264" w:rsidRPr="00E15264" w:rsidRDefault="001C7B50">
          <w:pPr>
            <w:pStyle w:val="TOC1"/>
            <w:tabs>
              <w:tab w:val="right" w:leader="dot" w:pos="9350"/>
            </w:tabs>
            <w:rPr>
              <w:rFonts w:eastAsiaTheme="minorEastAsia"/>
              <w:noProof/>
              <w:color w:val="auto"/>
              <w:sz w:val="22"/>
              <w:szCs w:val="22"/>
              <w:lang w:eastAsia="en-US"/>
            </w:rPr>
          </w:pPr>
          <w:hyperlink w:anchor="_Toc482256325" w:history="1">
            <w:r w:rsidR="00E15264" w:rsidRPr="00E15264">
              <w:rPr>
                <w:rStyle w:val="Hyperlink"/>
                <w:noProof/>
                <w:color w:val="auto"/>
                <w:u w:val="none"/>
              </w:rPr>
              <w:t>Microbiological Impurities</w:t>
            </w:r>
            <w:r w:rsidR="00E15264" w:rsidRPr="00E15264">
              <w:rPr>
                <w:noProof/>
                <w:webHidden/>
                <w:color w:val="auto"/>
              </w:rPr>
              <w:tab/>
            </w:r>
            <w:r w:rsidR="00E15264" w:rsidRPr="00E15264">
              <w:rPr>
                <w:noProof/>
                <w:webHidden/>
                <w:color w:val="auto"/>
              </w:rPr>
              <w:fldChar w:fldCharType="begin"/>
            </w:r>
            <w:r w:rsidR="00E15264" w:rsidRPr="00E15264">
              <w:rPr>
                <w:noProof/>
                <w:webHidden/>
                <w:color w:val="auto"/>
              </w:rPr>
              <w:instrText xml:space="preserve"> PAGEREF _Toc482256325 \h </w:instrText>
            </w:r>
            <w:r w:rsidR="00E15264" w:rsidRPr="00E15264">
              <w:rPr>
                <w:noProof/>
                <w:webHidden/>
                <w:color w:val="auto"/>
              </w:rPr>
            </w:r>
            <w:r w:rsidR="00E15264" w:rsidRPr="00E15264">
              <w:rPr>
                <w:noProof/>
                <w:webHidden/>
                <w:color w:val="auto"/>
              </w:rPr>
              <w:fldChar w:fldCharType="separate"/>
            </w:r>
            <w:r w:rsidR="004C7329">
              <w:rPr>
                <w:noProof/>
                <w:webHidden/>
                <w:color w:val="auto"/>
              </w:rPr>
              <w:t>6</w:t>
            </w:r>
            <w:r w:rsidR="00E15264" w:rsidRPr="00E15264">
              <w:rPr>
                <w:noProof/>
                <w:webHidden/>
                <w:color w:val="auto"/>
              </w:rPr>
              <w:fldChar w:fldCharType="end"/>
            </w:r>
          </w:hyperlink>
        </w:p>
        <w:p w:rsidR="00E15264" w:rsidRPr="00E15264" w:rsidRDefault="001C7B50">
          <w:pPr>
            <w:pStyle w:val="TOC1"/>
            <w:tabs>
              <w:tab w:val="right" w:leader="dot" w:pos="9350"/>
            </w:tabs>
            <w:rPr>
              <w:rFonts w:eastAsiaTheme="minorEastAsia"/>
              <w:noProof/>
              <w:color w:val="auto"/>
              <w:sz w:val="22"/>
              <w:szCs w:val="22"/>
              <w:lang w:eastAsia="en-US"/>
            </w:rPr>
          </w:pPr>
          <w:hyperlink w:anchor="_Toc482256326" w:history="1">
            <w:r w:rsidR="00E15264" w:rsidRPr="00E15264">
              <w:rPr>
                <w:rStyle w:val="Hyperlink"/>
                <w:noProof/>
                <w:color w:val="auto"/>
                <w:u w:val="none"/>
              </w:rPr>
              <w:t>Heavy Metals</w:t>
            </w:r>
            <w:r w:rsidR="00E15264" w:rsidRPr="00E15264">
              <w:rPr>
                <w:noProof/>
                <w:webHidden/>
                <w:color w:val="auto"/>
              </w:rPr>
              <w:tab/>
            </w:r>
            <w:r w:rsidR="00E15264" w:rsidRPr="00E15264">
              <w:rPr>
                <w:noProof/>
                <w:webHidden/>
                <w:color w:val="auto"/>
              </w:rPr>
              <w:fldChar w:fldCharType="begin"/>
            </w:r>
            <w:r w:rsidR="00E15264" w:rsidRPr="00E15264">
              <w:rPr>
                <w:noProof/>
                <w:webHidden/>
                <w:color w:val="auto"/>
              </w:rPr>
              <w:instrText xml:space="preserve"> PAGEREF _Toc482256326 \h </w:instrText>
            </w:r>
            <w:r w:rsidR="00E15264" w:rsidRPr="00E15264">
              <w:rPr>
                <w:noProof/>
                <w:webHidden/>
                <w:color w:val="auto"/>
              </w:rPr>
            </w:r>
            <w:r w:rsidR="00E15264" w:rsidRPr="00E15264">
              <w:rPr>
                <w:noProof/>
                <w:webHidden/>
                <w:color w:val="auto"/>
              </w:rPr>
              <w:fldChar w:fldCharType="separate"/>
            </w:r>
            <w:r w:rsidR="004C7329">
              <w:rPr>
                <w:noProof/>
                <w:webHidden/>
                <w:color w:val="auto"/>
              </w:rPr>
              <w:t>7</w:t>
            </w:r>
            <w:r w:rsidR="00E15264" w:rsidRPr="00E15264">
              <w:rPr>
                <w:noProof/>
                <w:webHidden/>
                <w:color w:val="auto"/>
              </w:rPr>
              <w:fldChar w:fldCharType="end"/>
            </w:r>
          </w:hyperlink>
        </w:p>
        <w:p w:rsidR="00E15264" w:rsidRPr="00E15264" w:rsidRDefault="001C7B50">
          <w:pPr>
            <w:pStyle w:val="TOC1"/>
            <w:tabs>
              <w:tab w:val="right" w:leader="dot" w:pos="9350"/>
            </w:tabs>
            <w:rPr>
              <w:rStyle w:val="Hyperlink"/>
              <w:noProof/>
              <w:color w:val="auto"/>
              <w:u w:val="none"/>
            </w:rPr>
          </w:pPr>
          <w:hyperlink w:anchor="_Toc482256327" w:history="1">
            <w:r w:rsidR="00E15264" w:rsidRPr="00E15264">
              <w:rPr>
                <w:rStyle w:val="Hyperlink"/>
                <w:noProof/>
                <w:color w:val="auto"/>
                <w:u w:val="none"/>
              </w:rPr>
              <w:t>Stability Testing</w:t>
            </w:r>
            <w:r w:rsidR="00E15264" w:rsidRPr="00E15264">
              <w:rPr>
                <w:noProof/>
                <w:webHidden/>
                <w:color w:val="auto"/>
              </w:rPr>
              <w:tab/>
            </w:r>
            <w:r w:rsidR="00E15264" w:rsidRPr="00E15264">
              <w:rPr>
                <w:noProof/>
                <w:webHidden/>
                <w:color w:val="auto"/>
              </w:rPr>
              <w:fldChar w:fldCharType="begin"/>
            </w:r>
            <w:r w:rsidR="00E15264" w:rsidRPr="00E15264">
              <w:rPr>
                <w:noProof/>
                <w:webHidden/>
                <w:color w:val="auto"/>
              </w:rPr>
              <w:instrText xml:space="preserve"> PAGEREF _Toc482256327 \h </w:instrText>
            </w:r>
            <w:r w:rsidR="00E15264" w:rsidRPr="00E15264">
              <w:rPr>
                <w:noProof/>
                <w:webHidden/>
                <w:color w:val="auto"/>
              </w:rPr>
            </w:r>
            <w:r w:rsidR="00E15264" w:rsidRPr="00E15264">
              <w:rPr>
                <w:noProof/>
                <w:webHidden/>
                <w:color w:val="auto"/>
              </w:rPr>
              <w:fldChar w:fldCharType="separate"/>
            </w:r>
            <w:r w:rsidR="004C7329">
              <w:rPr>
                <w:noProof/>
                <w:webHidden/>
                <w:color w:val="auto"/>
              </w:rPr>
              <w:t>8</w:t>
            </w:r>
            <w:r w:rsidR="00E15264" w:rsidRPr="00E15264">
              <w:rPr>
                <w:noProof/>
                <w:webHidden/>
                <w:color w:val="auto"/>
              </w:rPr>
              <w:fldChar w:fldCharType="end"/>
            </w:r>
          </w:hyperlink>
        </w:p>
        <w:p w:rsidR="00E15264" w:rsidRPr="00E15264" w:rsidRDefault="001C7B50" w:rsidP="00E15264">
          <w:pPr>
            <w:pStyle w:val="TOC1"/>
            <w:tabs>
              <w:tab w:val="right" w:leader="dot" w:pos="9350"/>
            </w:tabs>
            <w:rPr>
              <w:rStyle w:val="Hyperlink"/>
              <w:noProof/>
              <w:color w:val="auto"/>
              <w:u w:val="none"/>
            </w:rPr>
          </w:pPr>
          <w:hyperlink w:anchor="_Toc482256323" w:history="1">
            <w:r w:rsidR="00E15264" w:rsidRPr="00E15264">
              <w:rPr>
                <w:rStyle w:val="Hyperlink"/>
                <w:noProof/>
                <w:color w:val="auto"/>
                <w:u w:val="none"/>
              </w:rPr>
              <w:t>Appendix</w:t>
            </w:r>
          </w:hyperlink>
          <w:r w:rsidR="00E15264" w:rsidRPr="00E15264">
            <w:rPr>
              <w:rStyle w:val="Hyperlink"/>
              <w:noProof/>
              <w:color w:val="auto"/>
              <w:u w:val="none"/>
            </w:rPr>
            <w:t xml:space="preserve"> A-</w:t>
          </w:r>
          <w:r w:rsidR="001569B8">
            <w:rPr>
              <w:rStyle w:val="Hyperlink"/>
              <w:noProof/>
              <w:color w:val="auto"/>
              <w:u w:val="none"/>
            </w:rPr>
            <w:t>Medical Cannabis Testing Requirements</w:t>
          </w:r>
          <w:r w:rsidR="00E15264" w:rsidRPr="00E15264">
            <w:rPr>
              <w:rStyle w:val="Hyperlink"/>
              <w:noProof/>
              <w:color w:val="auto"/>
              <w:u w:val="none"/>
            </w:rPr>
            <w:tab/>
            <w:t>9</w:t>
          </w:r>
        </w:p>
        <w:p w:rsidR="00E15264" w:rsidRPr="00E15264" w:rsidRDefault="001C7B50" w:rsidP="00E15264">
          <w:pPr>
            <w:pStyle w:val="TOC1"/>
            <w:tabs>
              <w:tab w:val="right" w:leader="dot" w:pos="9350"/>
            </w:tabs>
            <w:rPr>
              <w:noProof/>
              <w:color w:val="auto"/>
            </w:rPr>
          </w:pPr>
          <w:hyperlink w:anchor="_Toc482256323" w:history="1">
            <w:r w:rsidR="00E15264" w:rsidRPr="00E15264">
              <w:rPr>
                <w:rStyle w:val="Hyperlink"/>
                <w:noProof/>
                <w:color w:val="auto"/>
                <w:u w:val="none"/>
              </w:rPr>
              <w:t>Appendix</w:t>
            </w:r>
          </w:hyperlink>
          <w:r w:rsidR="00E15264" w:rsidRPr="00E15264">
            <w:rPr>
              <w:rStyle w:val="Hyperlink"/>
              <w:noProof/>
              <w:color w:val="auto"/>
              <w:u w:val="none"/>
            </w:rPr>
            <w:t xml:space="preserve"> B-Definitions</w:t>
          </w:r>
          <w:r w:rsidR="00E15264" w:rsidRPr="00E15264">
            <w:rPr>
              <w:rStyle w:val="Hyperlink"/>
              <w:noProof/>
              <w:color w:val="auto"/>
              <w:u w:val="none"/>
            </w:rPr>
            <w:tab/>
            <w:t>10</w:t>
          </w:r>
        </w:p>
        <w:p w:rsidR="00E15264" w:rsidRDefault="001C7B50">
          <w:pPr>
            <w:pStyle w:val="TOC1"/>
            <w:tabs>
              <w:tab w:val="right" w:leader="dot" w:pos="9350"/>
            </w:tabs>
            <w:rPr>
              <w:rFonts w:eastAsiaTheme="minorEastAsia"/>
              <w:noProof/>
              <w:color w:val="auto"/>
              <w:sz w:val="22"/>
              <w:szCs w:val="22"/>
              <w:lang w:eastAsia="en-US"/>
            </w:rPr>
          </w:pPr>
          <w:hyperlink w:anchor="_Toc482256328" w:history="1">
            <w:r w:rsidR="00E15264" w:rsidRPr="00E15264">
              <w:rPr>
                <w:rStyle w:val="Hyperlink"/>
                <w:noProof/>
                <w:color w:val="auto"/>
                <w:u w:val="none"/>
              </w:rPr>
              <w:t>References</w:t>
            </w:r>
            <w:r w:rsidR="00E15264" w:rsidRPr="00E15264">
              <w:rPr>
                <w:noProof/>
                <w:webHidden/>
                <w:color w:val="auto"/>
              </w:rPr>
              <w:tab/>
            </w:r>
            <w:r w:rsidR="00E15264" w:rsidRPr="00E15264">
              <w:rPr>
                <w:noProof/>
                <w:webHidden/>
                <w:color w:val="auto"/>
              </w:rPr>
              <w:fldChar w:fldCharType="begin"/>
            </w:r>
            <w:r w:rsidR="00E15264" w:rsidRPr="00E15264">
              <w:rPr>
                <w:noProof/>
                <w:webHidden/>
                <w:color w:val="auto"/>
              </w:rPr>
              <w:instrText xml:space="preserve"> PAGEREF _Toc482256328 \h </w:instrText>
            </w:r>
            <w:r w:rsidR="00E15264" w:rsidRPr="00E15264">
              <w:rPr>
                <w:noProof/>
                <w:webHidden/>
                <w:color w:val="auto"/>
              </w:rPr>
            </w:r>
            <w:r w:rsidR="00E15264" w:rsidRPr="00E15264">
              <w:rPr>
                <w:noProof/>
                <w:webHidden/>
                <w:color w:val="auto"/>
              </w:rPr>
              <w:fldChar w:fldCharType="separate"/>
            </w:r>
            <w:r w:rsidR="004C7329">
              <w:rPr>
                <w:noProof/>
                <w:webHidden/>
                <w:color w:val="auto"/>
              </w:rPr>
              <w:t>1</w:t>
            </w:r>
            <w:r w:rsidR="00E15264" w:rsidRPr="00E15264">
              <w:rPr>
                <w:noProof/>
                <w:webHidden/>
                <w:color w:val="auto"/>
              </w:rPr>
              <w:fldChar w:fldCharType="end"/>
            </w:r>
          </w:hyperlink>
        </w:p>
        <w:p w:rsidR="001F71E1" w:rsidRDefault="00E15264">
          <w:r>
            <w:fldChar w:fldCharType="end"/>
          </w:r>
        </w:p>
      </w:sdtContent>
    </w:sdt>
    <w:p w:rsidR="00895AD0" w:rsidRPr="00895AD0" w:rsidRDefault="00895AD0" w:rsidP="00895AD0">
      <w:pPr>
        <w:sectPr w:rsidR="00895AD0" w:rsidRPr="00895AD0">
          <w:headerReference w:type="default" r:id="rId9"/>
          <w:pgSz w:w="12240" w:h="15840" w:code="1"/>
          <w:pgMar w:top="1440" w:right="1440" w:bottom="1440" w:left="1440" w:header="720" w:footer="864" w:gutter="0"/>
          <w:cols w:space="720"/>
          <w:docGrid w:linePitch="360"/>
        </w:sectPr>
      </w:pPr>
    </w:p>
    <w:p w:rsidR="00A33D14" w:rsidRPr="006315E1" w:rsidRDefault="00A33D14" w:rsidP="00DB2C50">
      <w:pPr>
        <w:pStyle w:val="Heading1"/>
      </w:pPr>
      <w:bookmarkStart w:id="1" w:name="_Toc482256301"/>
      <w:bookmarkStart w:id="2" w:name="_Toc482256322"/>
      <w:r w:rsidRPr="006315E1">
        <w:lastRenderedPageBreak/>
        <w:t>Introduction</w:t>
      </w:r>
      <w:bookmarkEnd w:id="1"/>
      <w:bookmarkEnd w:id="2"/>
    </w:p>
    <w:p w:rsidR="00A33D14" w:rsidRPr="00E15264" w:rsidRDefault="00A33D14" w:rsidP="00DB2C50">
      <w:r w:rsidRPr="00E15264">
        <w:t>Analytical testing of medical cannabis for safety and potency is increasingly recognized as a critical and necessary component of the industry for several reasons (Freeman et al. 2016):</w:t>
      </w:r>
    </w:p>
    <w:p w:rsidR="00A33D14" w:rsidRPr="00E15264" w:rsidRDefault="00A33D14" w:rsidP="00DB2C50">
      <w:pPr>
        <w:pStyle w:val="ListParagraph"/>
        <w:numPr>
          <w:ilvl w:val="0"/>
          <w:numId w:val="6"/>
        </w:numPr>
      </w:pPr>
      <w:r w:rsidRPr="00E15264">
        <w:t>Laboratory testing minimizes the risk of pesticides, microbes, heavy metals, toxins, and residual solvents from being consumed by an immunocompromised population;</w:t>
      </w:r>
    </w:p>
    <w:p w:rsidR="00A33D14" w:rsidRPr="00E15264" w:rsidRDefault="00A33D14" w:rsidP="00DB2C50">
      <w:pPr>
        <w:pStyle w:val="ListParagraph"/>
        <w:numPr>
          <w:ilvl w:val="0"/>
          <w:numId w:val="6"/>
        </w:numPr>
      </w:pPr>
      <w:r w:rsidRPr="00E15264">
        <w:t>Quantification of cannabinoid profiles and potency becomes available for the consumer and aids in determining appropriate dosing for individual use; and</w:t>
      </w:r>
    </w:p>
    <w:p w:rsidR="00A33D14" w:rsidRPr="00E15264" w:rsidRDefault="00A33D14" w:rsidP="00DB2C50">
      <w:pPr>
        <w:pStyle w:val="ListParagraph"/>
        <w:numPr>
          <w:ilvl w:val="0"/>
          <w:numId w:val="6"/>
        </w:numPr>
      </w:pPr>
      <w:r w:rsidRPr="00E15264">
        <w:t>Laboratory testing provides a sense of public safety and product quality for the medical cannabis tested.</w:t>
      </w:r>
    </w:p>
    <w:p w:rsidR="00A33D14" w:rsidRPr="00E15264" w:rsidRDefault="00A33D14" w:rsidP="00DB2C50">
      <w:r w:rsidRPr="00E15264">
        <w:t xml:space="preserve">The Maryland Medical Cannabis Commission (MMCC), with the help of a scientific work group, has established this guidance to serve as a reference for the Independent Testing Laboratories (ITL) to follow when analyzing medical cannabis.  </w:t>
      </w:r>
      <w:r w:rsidR="00F65309" w:rsidRPr="00E15264">
        <w:t xml:space="preserve">Medical cannabis safety and potency </w:t>
      </w:r>
      <w:r w:rsidR="00C566B0" w:rsidRPr="00E15264">
        <w:t xml:space="preserve">is to be analyzed based on the most current version of the cannabis inflorescence monograph published by the American Herbal Pharmacopeia (AHP), or a scientifically valid methodology that is equal or superior to that of the AHP monograph. </w:t>
      </w:r>
      <w:r w:rsidR="00F65309" w:rsidRPr="00E15264">
        <w:t xml:space="preserve">The Code of Maryland Regulations (COMAR) 10.62.15.05A and </w:t>
      </w:r>
      <w:proofErr w:type="gramStart"/>
      <w:r w:rsidR="00F65309" w:rsidRPr="00E15264">
        <w:t>10</w:t>
      </w:r>
      <w:r w:rsidR="00A74551">
        <w:t>.62.23.03</w:t>
      </w:r>
      <w:r w:rsidR="00F65309" w:rsidRPr="00E15264">
        <w:t>A</w:t>
      </w:r>
      <w:r w:rsidR="00A74551">
        <w:t>(</w:t>
      </w:r>
      <w:proofErr w:type="gramEnd"/>
      <w:r w:rsidR="00A74551">
        <w:t>1)</w:t>
      </w:r>
      <w:r w:rsidR="00F65309" w:rsidRPr="00E15264">
        <w:t xml:space="preserve"> list the compounds required for potency testing of medical cannabis. </w:t>
      </w:r>
      <w:r w:rsidRPr="00E15264">
        <w:t>This guidance provides the lists of contaminants and the associated tolerances that the ITL is required to report as</w:t>
      </w:r>
      <w:r w:rsidR="0023032A" w:rsidRPr="00E15264">
        <w:t xml:space="preserve"> stated in COMAR 10.62.15.05B</w:t>
      </w:r>
      <w:r w:rsidR="002E1359" w:rsidRPr="00E15264">
        <w:t xml:space="preserve"> and 10.62.23</w:t>
      </w:r>
      <w:r w:rsidR="00A74551">
        <w:t>.03A</w:t>
      </w:r>
      <w:r w:rsidR="00F65309" w:rsidRPr="00E15264">
        <w:t>(</w:t>
      </w:r>
      <w:r w:rsidR="001C418A" w:rsidRPr="00E15264">
        <w:t>2)</w:t>
      </w:r>
      <w:r w:rsidR="0023032A" w:rsidRPr="00E15264">
        <w:t xml:space="preserve">. </w:t>
      </w:r>
      <w:r w:rsidRPr="00E15264">
        <w:t>The tolerances were established following a review of available literature in the cannabis industry as well as references from the Inter</w:t>
      </w:r>
      <w:r w:rsidR="0023032A" w:rsidRPr="00E15264">
        <w:t xml:space="preserve">national Conference for </w:t>
      </w:r>
      <w:proofErr w:type="spellStart"/>
      <w:r w:rsidR="0023032A" w:rsidRPr="00E15264">
        <w:t>Harmonis</w:t>
      </w:r>
      <w:r w:rsidRPr="00E15264">
        <w:t>ation</w:t>
      </w:r>
      <w:proofErr w:type="spellEnd"/>
      <w:r w:rsidRPr="00E15264">
        <w:t xml:space="preserve"> (ICH) Guideline Q3C on Impurities and the ICH Guideline Q3D on Elemental Impurities Guidance for Industry.</w:t>
      </w:r>
    </w:p>
    <w:p w:rsidR="00A33D14" w:rsidRPr="00E15264" w:rsidRDefault="00A33D14" w:rsidP="00DB2C50">
      <w:r w:rsidRPr="00E15264">
        <w:t>The four categories of contaminants identified in the Code of Maryland Regulations (COMAR) 10.62.15.05</w:t>
      </w:r>
      <w:r w:rsidR="001C418A" w:rsidRPr="00E15264">
        <w:t>B</w:t>
      </w:r>
      <w:r w:rsidR="00A74551">
        <w:t xml:space="preserve"> and </w:t>
      </w:r>
      <w:proofErr w:type="gramStart"/>
      <w:r w:rsidR="00A74551">
        <w:t>10.62.23.03A</w:t>
      </w:r>
      <w:r w:rsidR="00F65309" w:rsidRPr="00E15264">
        <w:t>(</w:t>
      </w:r>
      <w:proofErr w:type="gramEnd"/>
      <w:r w:rsidR="001C418A" w:rsidRPr="00E15264">
        <w:t>2)</w:t>
      </w:r>
      <w:r w:rsidRPr="00E15264">
        <w:t xml:space="preserve"> include:</w:t>
      </w:r>
    </w:p>
    <w:p w:rsidR="00A33D14" w:rsidRPr="00E15264" w:rsidRDefault="00A33D14" w:rsidP="00DB2C50">
      <w:pPr>
        <w:pStyle w:val="ListParagraph"/>
        <w:numPr>
          <w:ilvl w:val="0"/>
          <w:numId w:val="4"/>
        </w:numPr>
      </w:pPr>
      <w:r w:rsidRPr="00E15264">
        <w:t>Pesticides;</w:t>
      </w:r>
    </w:p>
    <w:p w:rsidR="00A33D14" w:rsidRPr="00E15264" w:rsidRDefault="00A33D14" w:rsidP="00DB2C50">
      <w:pPr>
        <w:pStyle w:val="ListParagraph"/>
        <w:numPr>
          <w:ilvl w:val="0"/>
          <w:numId w:val="4"/>
        </w:numPr>
      </w:pPr>
      <w:r w:rsidRPr="00E15264">
        <w:t>Residual Solvents;</w:t>
      </w:r>
    </w:p>
    <w:p w:rsidR="00A33D14" w:rsidRPr="00E15264" w:rsidRDefault="00A33D14" w:rsidP="00DB2C50">
      <w:pPr>
        <w:pStyle w:val="ListParagraph"/>
        <w:numPr>
          <w:ilvl w:val="0"/>
          <w:numId w:val="4"/>
        </w:numPr>
      </w:pPr>
      <w:r w:rsidRPr="00E15264">
        <w:t>Microbiological Impurities; and</w:t>
      </w:r>
    </w:p>
    <w:p w:rsidR="00A33D14" w:rsidRPr="00E15264" w:rsidRDefault="00A33D14" w:rsidP="00DB2C50">
      <w:pPr>
        <w:pStyle w:val="ListParagraph"/>
        <w:numPr>
          <w:ilvl w:val="0"/>
          <w:numId w:val="4"/>
        </w:numPr>
      </w:pPr>
      <w:r w:rsidRPr="00E15264">
        <w:t>Heavy Metals.</w:t>
      </w:r>
    </w:p>
    <w:p w:rsidR="00A33D14" w:rsidRPr="00E15264" w:rsidRDefault="009A1BC5" w:rsidP="009A1BC5">
      <w:pPr>
        <w:widowControl w:val="0"/>
        <w:spacing w:after="120" w:line="283" w:lineRule="auto"/>
        <w:rPr>
          <w:rFonts w:ascii="Times New Roman" w:eastAsia="Times New Roman" w:hAnsi="Times New Roman" w:cs="Times New Roman"/>
          <w:kern w:val="28"/>
          <w:sz w:val="24"/>
          <w:szCs w:val="24"/>
          <w14:cntxtAlts/>
        </w:rPr>
      </w:pPr>
      <w:r w:rsidRPr="00E15264">
        <w:t>In an effective testing program,</w:t>
      </w:r>
      <w:r w:rsidR="00A33D14" w:rsidRPr="00E15264">
        <w:t xml:space="preserve"> standardized sampling procedure</w:t>
      </w:r>
      <w:r w:rsidRPr="00E15264">
        <w:t>s are</w:t>
      </w:r>
      <w:r w:rsidR="00A33D14" w:rsidRPr="00E15264">
        <w:t xml:space="preserve"> an integral component to quality </w:t>
      </w:r>
      <w:r w:rsidR="00247DF0" w:rsidRPr="00E15264">
        <w:t xml:space="preserve">laboratory </w:t>
      </w:r>
      <w:r w:rsidR="00A33D14" w:rsidRPr="00E15264">
        <w:t xml:space="preserve">testing.  </w:t>
      </w:r>
      <w:r w:rsidRPr="00E15264">
        <w:t>The data generated from all analytical methods must be consistently reliable and legally defensible. To achieve this, method precision and accuracy measurements should be performed during the sample testing process.  This guidance will provide some best practices for the sample collection by the ITL.</w:t>
      </w:r>
      <w:r w:rsidRPr="00E15264">
        <w:rPr>
          <w:rFonts w:ascii="Times New Roman" w:eastAsia="Times New Roman" w:hAnsi="Times New Roman" w:cs="Times New Roman"/>
          <w:kern w:val="28"/>
          <w:sz w:val="24"/>
          <w:szCs w:val="24"/>
          <w14:cntxtAlts/>
        </w:rPr>
        <w:t xml:space="preserve"> </w:t>
      </w:r>
    </w:p>
    <w:p w:rsidR="009B134D" w:rsidRPr="00E15264" w:rsidRDefault="009B134D" w:rsidP="009A1BC5">
      <w:pPr>
        <w:widowControl w:val="0"/>
        <w:spacing w:after="120" w:line="283" w:lineRule="auto"/>
        <w:rPr>
          <w:rFonts w:eastAsia="Times New Roman" w:cstheme="minorHAnsi"/>
          <w:kern w:val="28"/>
          <w14:cntxtAlts/>
        </w:rPr>
      </w:pPr>
      <w:r w:rsidRPr="00E15264">
        <w:rPr>
          <w:rFonts w:eastAsia="Times New Roman" w:cstheme="minorHAnsi"/>
          <w:kern w:val="28"/>
          <w14:cntxtAlts/>
        </w:rPr>
        <w:t xml:space="preserve">All sampling and analysis described in this guidance shall be conducted by an independent testing laboratory registered with MMCC and </w:t>
      </w:r>
      <w:r w:rsidR="001B009D" w:rsidRPr="00E15264">
        <w:rPr>
          <w:rFonts w:eastAsia="Times New Roman" w:cstheme="minorHAnsi"/>
          <w:kern w:val="28"/>
          <w14:cntxtAlts/>
        </w:rPr>
        <w:t>in good standing with a third-</w:t>
      </w:r>
      <w:r w:rsidRPr="00E15264">
        <w:rPr>
          <w:rFonts w:eastAsia="Times New Roman" w:cstheme="minorHAnsi"/>
          <w:kern w:val="28"/>
          <w14:cntxtAlts/>
        </w:rPr>
        <w:t>party accrediting body accredited to International Organization for Standardization (ISO) 17025.</w:t>
      </w:r>
    </w:p>
    <w:p w:rsidR="00A33D14" w:rsidRPr="00E15264" w:rsidRDefault="00A33D14" w:rsidP="00DB2C50">
      <w:r w:rsidRPr="00E15264">
        <w:t>The MMCC is committed to evidence-based decision making when implementing technical guidance for the registered ITL.  As research into cannabis use and safety advances, this report will be revised and updated to reflect the state of science as it pertains to the medical cannabis industry.</w:t>
      </w:r>
    </w:p>
    <w:p w:rsidR="009C348C" w:rsidRPr="00E15264" w:rsidRDefault="009C348C" w:rsidP="00DB2C50"/>
    <w:p w:rsidR="009C348C" w:rsidRPr="00E15264" w:rsidRDefault="009C348C" w:rsidP="00DB2C50"/>
    <w:p w:rsidR="009C348C" w:rsidRDefault="009C348C" w:rsidP="00DB2C50"/>
    <w:p w:rsidR="009C348C" w:rsidRDefault="009C348C" w:rsidP="00DB2C50"/>
    <w:p w:rsidR="009C348C" w:rsidRDefault="009C348C" w:rsidP="00DB2C50"/>
    <w:p w:rsidR="009C348C" w:rsidRPr="006315E1" w:rsidRDefault="009C348C" w:rsidP="00DB2C50"/>
    <w:p w:rsidR="00A33D14" w:rsidRPr="006315E1" w:rsidRDefault="00A33D14" w:rsidP="00DB2C50">
      <w:pPr>
        <w:pStyle w:val="Heading1"/>
      </w:pPr>
      <w:bookmarkStart w:id="3" w:name="_Toc482256302"/>
      <w:bookmarkStart w:id="4" w:name="_Toc482256323"/>
      <w:r w:rsidRPr="006315E1">
        <w:t>Sampling</w:t>
      </w:r>
      <w:bookmarkEnd w:id="3"/>
      <w:bookmarkEnd w:id="4"/>
      <w:r w:rsidRPr="006315E1">
        <w:t xml:space="preserve"> </w:t>
      </w:r>
    </w:p>
    <w:p w:rsidR="00A33D14" w:rsidRPr="00E15264" w:rsidRDefault="000C795D" w:rsidP="00DB2C50">
      <w:pPr>
        <w:rPr>
          <w:rFonts w:cstheme="minorHAnsi"/>
        </w:rPr>
      </w:pPr>
      <w:r w:rsidRPr="00E15264">
        <w:rPr>
          <w:rFonts w:cstheme="minorHAnsi"/>
        </w:rPr>
        <w:t xml:space="preserve">The objective of a sampling procedure is to ensure the proper collection, clear labeling, proper preservation, careful transportation, and storage of samples by trained personnel for laboratory analyses. Collection of the sample is critical as it must be truly representative of the material being analyzed or the results will not be meaningful.  Independent testing laboratories (ITL) are required </w:t>
      </w:r>
      <w:r w:rsidR="00A33D14" w:rsidRPr="00E15264">
        <w:t>to develop a statistically valid sampling method and collect a representative sample from each batch</w:t>
      </w:r>
      <w:r w:rsidRPr="00E15264">
        <w:t xml:space="preserve"> or lot</w:t>
      </w:r>
      <w:r w:rsidR="00A33D14" w:rsidRPr="00E15264">
        <w:t xml:space="preserve"> of final product that is adequate to perform the required testing</w:t>
      </w:r>
      <w:r w:rsidRPr="00E15264">
        <w:rPr>
          <w:rFonts w:ascii="Times New Roman" w:eastAsia="Times New Roman" w:hAnsi="Times New Roman" w:cs="Times New Roman"/>
          <w:kern w:val="28"/>
          <w:sz w:val="24"/>
          <w:szCs w:val="24"/>
          <w14:cntxtAlts/>
        </w:rPr>
        <w:t xml:space="preserve"> </w:t>
      </w:r>
      <w:r w:rsidR="00A74551">
        <w:rPr>
          <w:rFonts w:eastAsia="Times New Roman" w:cstheme="minorHAnsi"/>
          <w:kern w:val="28"/>
          <w14:cntxtAlts/>
        </w:rPr>
        <w:t>(COMAR 10.62.15.04B(1)</w:t>
      </w:r>
      <w:r w:rsidRPr="00E15264">
        <w:t xml:space="preserve">.  </w:t>
      </w:r>
      <w:r w:rsidR="00A33D14" w:rsidRPr="00E15264">
        <w:t xml:space="preserve">The amount of sample required for cannabinoid or contaminant testing may vary due to </w:t>
      </w:r>
      <w:r w:rsidR="00247DF0" w:rsidRPr="00E15264">
        <w:t xml:space="preserve">sample </w:t>
      </w:r>
      <w:r w:rsidR="00A33D14" w:rsidRPr="00E15264">
        <w:t xml:space="preserve">matrix, analytical method, and laboratory-specific procedures, </w:t>
      </w:r>
      <w:r w:rsidR="00A33D14" w:rsidRPr="00E15264">
        <w:rPr>
          <w:bCs/>
          <w:iCs/>
        </w:rPr>
        <w:t>but a minimum sam</w:t>
      </w:r>
      <w:r w:rsidRPr="00E15264">
        <w:rPr>
          <w:bCs/>
          <w:iCs/>
        </w:rPr>
        <w:t xml:space="preserve">ple volume of 0.5% of the batch </w:t>
      </w:r>
      <w:r w:rsidR="00E40A2F" w:rsidRPr="00E15264">
        <w:rPr>
          <w:bCs/>
          <w:iCs/>
        </w:rPr>
        <w:t xml:space="preserve">mass </w:t>
      </w:r>
      <w:r w:rsidRPr="00E15264">
        <w:rPr>
          <w:bCs/>
          <w:iCs/>
        </w:rPr>
        <w:t xml:space="preserve">of usable cannabis </w:t>
      </w:r>
      <w:r w:rsidR="00A33D14" w:rsidRPr="00E15264">
        <w:rPr>
          <w:bCs/>
          <w:iCs/>
        </w:rPr>
        <w:t>is required by MMCC</w:t>
      </w:r>
      <w:r w:rsidR="00EF7D53" w:rsidRPr="00E15264">
        <w:rPr>
          <w:bCs/>
          <w:iCs/>
        </w:rPr>
        <w:t xml:space="preserve"> in order to achieve a representative sample for analysis</w:t>
      </w:r>
      <w:r w:rsidR="00A33D14" w:rsidRPr="00E15264">
        <w:rPr>
          <w:b/>
          <w:bCs/>
          <w:iCs/>
        </w:rPr>
        <w:t xml:space="preserve">.  </w:t>
      </w:r>
      <w:r w:rsidR="00A33D14" w:rsidRPr="00E15264">
        <w:rPr>
          <w:b/>
          <w:bCs/>
          <w:i/>
          <w:iCs/>
        </w:rPr>
        <w:t xml:space="preserve"> </w:t>
      </w:r>
      <w:r w:rsidR="00947BD6" w:rsidRPr="00E15264">
        <w:rPr>
          <w:bCs/>
          <w:iCs/>
        </w:rPr>
        <w:t>For concentrates, extracts, and medical cannabis infused product, the sample volume will be determined by each ITL.</w:t>
      </w:r>
      <w:r w:rsidR="00947BD6" w:rsidRPr="00E15264">
        <w:rPr>
          <w:b/>
          <w:bCs/>
          <w:i/>
          <w:iCs/>
        </w:rPr>
        <w:t xml:space="preserve">  </w:t>
      </w:r>
      <w:r w:rsidR="00A33D14" w:rsidRPr="00E15264">
        <w:t xml:space="preserve">In all cases, the amount of sample collected by the laboratory should be large enough and sufficiently homogenized to provide a representative sample of the batch but not in excess to raise issues with possible diversion or waste disposal.  </w:t>
      </w:r>
    </w:p>
    <w:p w:rsidR="000C795D" w:rsidRPr="00E15264" w:rsidRDefault="000C795D" w:rsidP="000C795D">
      <w:pPr>
        <w:widowControl w:val="0"/>
        <w:spacing w:after="120" w:line="283" w:lineRule="auto"/>
        <w:rPr>
          <w:rFonts w:eastAsia="Times New Roman" w:cstheme="minorHAnsi"/>
          <w:kern w:val="28"/>
          <w14:cntxtAlts/>
        </w:rPr>
      </w:pPr>
      <w:r w:rsidRPr="00E15264">
        <w:rPr>
          <w:rFonts w:eastAsia="Times New Roman" w:cstheme="minorHAnsi"/>
          <w:kern w:val="28"/>
          <w14:cntxtAlts/>
        </w:rPr>
        <w:t xml:space="preserve">Medical Cannabis sampling procedures play </w:t>
      </w:r>
      <w:r w:rsidR="00BC3D7E">
        <w:rPr>
          <w:rFonts w:eastAsia="Times New Roman" w:cstheme="minorHAnsi"/>
          <w:kern w:val="28"/>
          <w14:cntxtAlts/>
        </w:rPr>
        <w:t>an important</w:t>
      </w:r>
      <w:r w:rsidRPr="00E15264">
        <w:rPr>
          <w:rFonts w:eastAsia="Times New Roman" w:cstheme="minorHAnsi"/>
          <w:kern w:val="28"/>
          <w14:cntxtAlts/>
        </w:rPr>
        <w:t xml:space="preserve"> role in identifying and/or confirming the integrity of a sample, as well as the completeness of request and chain of custody forms. </w:t>
      </w:r>
    </w:p>
    <w:p w:rsidR="00A33D14" w:rsidRPr="00E15264" w:rsidRDefault="00A33D14" w:rsidP="00DB2C50">
      <w:r w:rsidRPr="00E15264">
        <w:t xml:space="preserve">To reliably provide the laboratory with a representative sample, standard sampling methods </w:t>
      </w:r>
      <w:r w:rsidR="00F14599" w:rsidRPr="00E15264">
        <w:t xml:space="preserve">with descriptive steps </w:t>
      </w:r>
      <w:r w:rsidRPr="00E15264">
        <w:t xml:space="preserve">must be applied with quality and consistency.  </w:t>
      </w:r>
      <w:r w:rsidR="00F14599" w:rsidRPr="00E15264">
        <w:rPr>
          <w:rFonts w:eastAsia="Times New Roman" w:cstheme="minorHAnsi"/>
          <w:kern w:val="28"/>
          <w14:cntxtAlts/>
        </w:rPr>
        <w:t xml:space="preserve">All sampling must be consistently performed using accepted methodologies.  </w:t>
      </w:r>
      <w:r w:rsidRPr="00E15264">
        <w:t xml:space="preserve">It is the responsibility of the ITL to define a standard operating procedure that minimizes both imprecision and bias, and lists chronological steps that ensure a consistent and repeatable method.  </w:t>
      </w:r>
    </w:p>
    <w:p w:rsidR="00A33D14" w:rsidRPr="00E15264" w:rsidRDefault="00A33D14" w:rsidP="00DB2C50">
      <w:r w:rsidRPr="00E15264">
        <w:t xml:space="preserve">The following are sampling guidelines </w:t>
      </w:r>
      <w:r w:rsidR="00F14599" w:rsidRPr="00E15264">
        <w:t>the ITL shall use</w:t>
      </w:r>
      <w:r w:rsidRPr="00E15264">
        <w:t xml:space="preserve"> when developing a sampling protocol:</w:t>
      </w:r>
    </w:p>
    <w:p w:rsidR="00A33D14" w:rsidRPr="00E15264" w:rsidRDefault="00A33D14" w:rsidP="00DB2C50">
      <w:pPr>
        <w:pStyle w:val="ListParagraph"/>
        <w:numPr>
          <w:ilvl w:val="0"/>
          <w:numId w:val="4"/>
        </w:numPr>
      </w:pPr>
      <w:r w:rsidRPr="00E15264">
        <w:t>The use of appropriate sampling equipment to avoid contamination;</w:t>
      </w:r>
    </w:p>
    <w:p w:rsidR="00A33D14" w:rsidRPr="00E15264" w:rsidRDefault="00A33D14" w:rsidP="00DB2C50">
      <w:pPr>
        <w:pStyle w:val="ListParagraph"/>
        <w:numPr>
          <w:ilvl w:val="0"/>
          <w:numId w:val="4"/>
        </w:numPr>
      </w:pPr>
      <w:r w:rsidRPr="00E15264">
        <w:t>The documentation of observations and procedures used during sample collection;</w:t>
      </w:r>
    </w:p>
    <w:p w:rsidR="00A33D14" w:rsidRPr="00E15264" w:rsidRDefault="00A33D14" w:rsidP="00DB2C50">
      <w:pPr>
        <w:pStyle w:val="ListParagraph"/>
        <w:numPr>
          <w:ilvl w:val="0"/>
          <w:numId w:val="4"/>
        </w:numPr>
      </w:pPr>
      <w:r w:rsidRPr="00E15264">
        <w:t>The use of an aseptic collection technique is required for antimicrobial testing;</w:t>
      </w:r>
    </w:p>
    <w:p w:rsidR="00A33D14" w:rsidRPr="00E15264" w:rsidRDefault="00A33D14" w:rsidP="00DB2C50">
      <w:pPr>
        <w:pStyle w:val="ListParagraph"/>
        <w:numPr>
          <w:ilvl w:val="0"/>
          <w:numId w:val="4"/>
        </w:numPr>
      </w:pPr>
      <w:r w:rsidRPr="00E15264">
        <w:t>The importance of personal hygiene and use of person protective equipment; and</w:t>
      </w:r>
    </w:p>
    <w:p w:rsidR="00A33D14" w:rsidRPr="00E15264" w:rsidRDefault="00A33D14" w:rsidP="00DB2C50">
      <w:pPr>
        <w:pStyle w:val="ListParagraph"/>
        <w:numPr>
          <w:ilvl w:val="0"/>
          <w:numId w:val="4"/>
        </w:numPr>
      </w:pPr>
      <w:r w:rsidRPr="00E15264">
        <w:t>The method used by personnel to consistently obtain samples throughout the batch.</w:t>
      </w:r>
    </w:p>
    <w:p w:rsidR="00A33D14" w:rsidRPr="00E15264" w:rsidRDefault="00A33D14" w:rsidP="00DB2C50">
      <w:pPr>
        <w:pStyle w:val="ListParagraph"/>
        <w:numPr>
          <w:ilvl w:val="0"/>
          <w:numId w:val="7"/>
        </w:numPr>
      </w:pPr>
      <w:r w:rsidRPr="00E15264">
        <w:t>Additional parameters affecting sample preparation, documentation, and transport may include:</w:t>
      </w:r>
    </w:p>
    <w:p w:rsidR="00A33D14" w:rsidRPr="00E15264" w:rsidRDefault="00A33D14" w:rsidP="001C418A">
      <w:pPr>
        <w:pStyle w:val="ListParagraph"/>
        <w:numPr>
          <w:ilvl w:val="1"/>
          <w:numId w:val="7"/>
        </w:numPr>
      </w:pPr>
      <w:r w:rsidRPr="00E15264">
        <w:t>Accepted test sample types;</w:t>
      </w:r>
    </w:p>
    <w:p w:rsidR="00A33D14" w:rsidRPr="00E15264" w:rsidRDefault="00A33D14" w:rsidP="001C418A">
      <w:pPr>
        <w:pStyle w:val="ListParagraph"/>
        <w:numPr>
          <w:ilvl w:val="1"/>
          <w:numId w:val="7"/>
        </w:numPr>
      </w:pPr>
      <w:r w:rsidRPr="00E15264">
        <w:t>Minimum test sample size;</w:t>
      </w:r>
    </w:p>
    <w:p w:rsidR="00A33D14" w:rsidRPr="00E15264" w:rsidRDefault="00A33D14" w:rsidP="001C418A">
      <w:pPr>
        <w:pStyle w:val="ListParagraph"/>
        <w:numPr>
          <w:ilvl w:val="1"/>
          <w:numId w:val="7"/>
        </w:numPr>
      </w:pPr>
      <w:r w:rsidRPr="00E15264">
        <w:t>Test sample labeling;</w:t>
      </w:r>
    </w:p>
    <w:p w:rsidR="00A33D14" w:rsidRPr="00E15264" w:rsidRDefault="00A33D14" w:rsidP="001C418A">
      <w:pPr>
        <w:pStyle w:val="ListParagraph"/>
        <w:numPr>
          <w:ilvl w:val="1"/>
          <w:numId w:val="7"/>
        </w:numPr>
      </w:pPr>
      <w:r w:rsidRPr="00E15264">
        <w:t>Transport and storage conditions; and</w:t>
      </w:r>
    </w:p>
    <w:p w:rsidR="00A33D14" w:rsidRPr="00E15264" w:rsidRDefault="00A33D14" w:rsidP="001C418A">
      <w:pPr>
        <w:pStyle w:val="ListParagraph"/>
        <w:numPr>
          <w:ilvl w:val="1"/>
          <w:numId w:val="7"/>
        </w:numPr>
      </w:pPr>
      <w:r w:rsidRPr="00E15264">
        <w:t>The documentation of sample chain of custody.</w:t>
      </w:r>
    </w:p>
    <w:p w:rsidR="00A33D14" w:rsidRPr="00E15264" w:rsidRDefault="00A915D3" w:rsidP="00DB2C50">
      <w:r w:rsidRPr="00E15264">
        <w:t>An example collection procedure is included as a baseline reference</w:t>
      </w:r>
      <w:r w:rsidR="00E40A2F" w:rsidRPr="00E15264">
        <w:t xml:space="preserve"> (US</w:t>
      </w:r>
      <w:r w:rsidR="008E129D" w:rsidRPr="00E15264">
        <w:t xml:space="preserve">P </w:t>
      </w:r>
      <w:r w:rsidR="009B134D" w:rsidRPr="00E15264">
        <w:t>36</w:t>
      </w:r>
      <w:r w:rsidR="008E129D" w:rsidRPr="00E15264">
        <w:t xml:space="preserve"> 2014</w:t>
      </w:r>
      <w:r w:rsidR="00E40A2F" w:rsidRPr="00E15264">
        <w:t>)</w:t>
      </w:r>
      <w:r w:rsidRPr="00E15264">
        <w:t xml:space="preserve">. </w:t>
      </w:r>
      <w:r w:rsidR="00E40A2F" w:rsidRPr="00E15264">
        <w:t xml:space="preserve"> </w:t>
      </w:r>
      <w:r w:rsidRPr="00E15264">
        <w:t xml:space="preserve"> </w:t>
      </w:r>
      <w:r w:rsidR="00A33D14" w:rsidRPr="00E15264">
        <w:t>For detailed information regarding sample collection, please refer to “Good Samples: Guidance on Obtaining Defensible Samples” (</w:t>
      </w:r>
      <w:proofErr w:type="spellStart"/>
      <w:r w:rsidR="00A33D14" w:rsidRPr="00E15264">
        <w:t>Thiex</w:t>
      </w:r>
      <w:proofErr w:type="spellEnd"/>
      <w:r w:rsidR="00A33D14" w:rsidRPr="00E15264">
        <w:t xml:space="preserve"> 2015), or “Sampling Cannabis for Analytical Purposes (Sexton 2013).</w:t>
      </w:r>
    </w:p>
    <w:p w:rsidR="00F14599" w:rsidRPr="00E15264" w:rsidRDefault="00F14599" w:rsidP="00F14599">
      <w:pPr>
        <w:widowControl w:val="0"/>
        <w:spacing w:after="120" w:line="283" w:lineRule="auto"/>
        <w:rPr>
          <w:rFonts w:eastAsia="Times New Roman" w:cstheme="minorHAnsi"/>
          <w:kern w:val="28"/>
          <w14:cntxtAlts/>
        </w:rPr>
      </w:pPr>
      <w:r w:rsidRPr="00E15264">
        <w:rPr>
          <w:rFonts w:eastAsia="Times New Roman" w:cstheme="minorHAnsi"/>
          <w:kern w:val="28"/>
          <w14:cntxtAlts/>
        </w:rPr>
        <w:t xml:space="preserve">(See Appendix A for </w:t>
      </w:r>
      <w:r w:rsidR="00647ADF">
        <w:rPr>
          <w:rFonts w:eastAsia="Times New Roman" w:cstheme="minorHAnsi"/>
          <w:kern w:val="28"/>
          <w14:cntxtAlts/>
        </w:rPr>
        <w:t>information regarding required</w:t>
      </w:r>
      <w:r w:rsidRPr="00E15264">
        <w:rPr>
          <w:rFonts w:eastAsia="Times New Roman" w:cstheme="minorHAnsi"/>
          <w:kern w:val="28"/>
          <w14:cntxtAlts/>
        </w:rPr>
        <w:t xml:space="preserve"> </w:t>
      </w:r>
      <w:r w:rsidR="00E40A2F" w:rsidRPr="00E15264">
        <w:rPr>
          <w:rFonts w:eastAsia="Times New Roman" w:cstheme="minorHAnsi"/>
          <w:kern w:val="28"/>
          <w14:cntxtAlts/>
        </w:rPr>
        <w:t>testing</w:t>
      </w:r>
      <w:r w:rsidRPr="00E15264">
        <w:rPr>
          <w:rFonts w:eastAsia="Times New Roman" w:cstheme="minorHAnsi"/>
          <w:kern w:val="28"/>
          <w14:cntxtAlts/>
        </w:rPr>
        <w:t xml:space="preserve"> </w:t>
      </w:r>
      <w:r w:rsidR="00E40A2F" w:rsidRPr="00E15264">
        <w:rPr>
          <w:rFonts w:eastAsia="Times New Roman" w:cstheme="minorHAnsi"/>
          <w:kern w:val="28"/>
          <w14:cntxtAlts/>
        </w:rPr>
        <w:t>for each sample matrix</w:t>
      </w:r>
      <w:r w:rsidRPr="00E15264">
        <w:rPr>
          <w:rFonts w:eastAsia="Times New Roman" w:cstheme="minorHAnsi"/>
          <w:kern w:val="28"/>
          <w14:cntxtAlts/>
        </w:rPr>
        <w:t>)</w:t>
      </w:r>
      <w:r w:rsidR="001C418A" w:rsidRPr="00E15264">
        <w:rPr>
          <w:rFonts w:eastAsia="Times New Roman" w:cstheme="minorHAnsi"/>
          <w:kern w:val="28"/>
          <w14:cntxtAlts/>
        </w:rPr>
        <w:t>.</w:t>
      </w:r>
    </w:p>
    <w:p w:rsidR="00F14599" w:rsidRDefault="00F14599" w:rsidP="00DB2C50"/>
    <w:p w:rsidR="009C348C" w:rsidRDefault="009C348C" w:rsidP="00DB2C50"/>
    <w:p w:rsidR="001B009D" w:rsidRDefault="001B009D" w:rsidP="00DB2C50"/>
    <w:p w:rsidR="00C566B0" w:rsidRDefault="00C566B0" w:rsidP="00C566B0">
      <w:pPr>
        <w:tabs>
          <w:tab w:val="left" w:pos="1560"/>
        </w:tabs>
      </w:pPr>
    </w:p>
    <w:p w:rsidR="001B009D" w:rsidRDefault="001B009D" w:rsidP="009B134D">
      <w:pPr>
        <w:rPr>
          <w:b/>
          <w:color w:val="1F4E79" w:themeColor="accent1" w:themeShade="80"/>
          <w:sz w:val="28"/>
          <w:szCs w:val="28"/>
        </w:rPr>
      </w:pPr>
      <w:bookmarkStart w:id="5" w:name="_Hlk481667225"/>
    </w:p>
    <w:p w:rsidR="00C566B0" w:rsidRPr="009B134D" w:rsidRDefault="00CD306B" w:rsidP="009B134D">
      <w:r>
        <w:rPr>
          <w:b/>
          <w:color w:val="1F4E79" w:themeColor="accent1" w:themeShade="80"/>
          <w:sz w:val="28"/>
          <w:szCs w:val="28"/>
        </w:rPr>
        <w:t xml:space="preserve">EXAMPLE </w:t>
      </w:r>
      <w:r w:rsidR="008E040D" w:rsidRPr="008E040D">
        <w:rPr>
          <w:b/>
          <w:color w:val="1F4E79" w:themeColor="accent1" w:themeShade="80"/>
          <w:sz w:val="28"/>
          <w:szCs w:val="28"/>
        </w:rPr>
        <w:t>COLLECTION PROCEDURE FOR LABORATORY SAMPLES</w:t>
      </w:r>
    </w:p>
    <w:p w:rsidR="00A814C9" w:rsidRDefault="00A814C9" w:rsidP="00A814C9">
      <w:pPr>
        <w:tabs>
          <w:tab w:val="left" w:pos="1560"/>
        </w:tabs>
        <w:spacing w:after="0"/>
        <w:rPr>
          <w:i/>
          <w:color w:val="auto"/>
        </w:rPr>
      </w:pPr>
    </w:p>
    <w:p w:rsidR="00A814C9" w:rsidRDefault="00A814C9" w:rsidP="00A814C9">
      <w:pPr>
        <w:tabs>
          <w:tab w:val="left" w:pos="1560"/>
        </w:tabs>
        <w:spacing w:after="0"/>
        <w:rPr>
          <w:i/>
          <w:color w:val="auto"/>
        </w:rPr>
      </w:pPr>
    </w:p>
    <w:p w:rsidR="00A814C9" w:rsidRPr="00A814C9" w:rsidRDefault="00A814C9" w:rsidP="00A814C9">
      <w:pPr>
        <w:tabs>
          <w:tab w:val="left" w:pos="1560"/>
        </w:tabs>
        <w:spacing w:after="0"/>
        <w:rPr>
          <w:b/>
          <w:color w:val="auto"/>
          <w:u w:val="single"/>
        </w:rPr>
      </w:pPr>
      <w:r w:rsidRPr="00A814C9">
        <w:rPr>
          <w:b/>
          <w:color w:val="auto"/>
          <w:u w:val="single"/>
        </w:rPr>
        <w:t>Equipment:</w:t>
      </w:r>
    </w:p>
    <w:p w:rsidR="00A814C9" w:rsidRDefault="00A814C9" w:rsidP="00A814C9">
      <w:pPr>
        <w:tabs>
          <w:tab w:val="left" w:pos="1560"/>
        </w:tabs>
        <w:spacing w:after="0"/>
        <w:rPr>
          <w:color w:val="auto"/>
        </w:rPr>
      </w:pPr>
    </w:p>
    <w:p w:rsidR="00A814C9" w:rsidRPr="00E15264" w:rsidRDefault="00504AED" w:rsidP="00A814C9">
      <w:pPr>
        <w:tabs>
          <w:tab w:val="left" w:pos="1560"/>
        </w:tabs>
        <w:spacing w:after="0"/>
      </w:pPr>
      <w:r w:rsidRPr="00E15264">
        <w:t xml:space="preserve">Disposable </w:t>
      </w:r>
      <w:r w:rsidR="00A814C9" w:rsidRPr="00E15264">
        <w:t>Gloves</w:t>
      </w:r>
    </w:p>
    <w:p w:rsidR="00A814C9" w:rsidRPr="00E15264" w:rsidRDefault="00504AED" w:rsidP="00A814C9">
      <w:pPr>
        <w:tabs>
          <w:tab w:val="left" w:pos="1560"/>
        </w:tabs>
        <w:spacing w:after="0"/>
      </w:pPr>
      <w:r w:rsidRPr="00E15264">
        <w:t xml:space="preserve">Calibrated </w:t>
      </w:r>
      <w:r w:rsidR="00A814C9" w:rsidRPr="00E15264">
        <w:t>Scale</w:t>
      </w:r>
    </w:p>
    <w:p w:rsidR="00A814C9" w:rsidRPr="00E15264" w:rsidRDefault="00CD306B" w:rsidP="00A814C9">
      <w:pPr>
        <w:tabs>
          <w:tab w:val="left" w:pos="1560"/>
        </w:tabs>
        <w:spacing w:after="0"/>
      </w:pPr>
      <w:r>
        <w:t xml:space="preserve">Appropriate </w:t>
      </w:r>
      <w:r w:rsidR="00504AED" w:rsidRPr="00E15264">
        <w:t>Sample Collection V</w:t>
      </w:r>
      <w:r w:rsidR="00A814C9" w:rsidRPr="00E15264">
        <w:t>essel</w:t>
      </w:r>
    </w:p>
    <w:p w:rsidR="00A814C9" w:rsidRPr="00E15264" w:rsidRDefault="00A814C9" w:rsidP="00A814C9">
      <w:pPr>
        <w:tabs>
          <w:tab w:val="left" w:pos="1560"/>
        </w:tabs>
        <w:spacing w:after="0"/>
      </w:pPr>
      <w:r w:rsidRPr="00E15264">
        <w:t>70% Ethanol or Bleach Wipes</w:t>
      </w:r>
    </w:p>
    <w:p w:rsidR="00A814C9" w:rsidRPr="00E15264" w:rsidRDefault="00A814C9" w:rsidP="00A814C9">
      <w:pPr>
        <w:tabs>
          <w:tab w:val="left" w:pos="1560"/>
        </w:tabs>
        <w:spacing w:after="0"/>
      </w:pPr>
    </w:p>
    <w:p w:rsidR="00A814C9" w:rsidRPr="00A814C9" w:rsidRDefault="00A814C9" w:rsidP="00A814C9">
      <w:pPr>
        <w:tabs>
          <w:tab w:val="left" w:pos="1560"/>
        </w:tabs>
        <w:spacing w:after="0"/>
        <w:rPr>
          <w:b/>
          <w:color w:val="auto"/>
          <w:u w:val="single"/>
        </w:rPr>
      </w:pPr>
      <w:r w:rsidRPr="00A814C9">
        <w:rPr>
          <w:b/>
          <w:color w:val="auto"/>
          <w:u w:val="single"/>
        </w:rPr>
        <w:t>Procedure:</w:t>
      </w:r>
    </w:p>
    <w:p w:rsidR="00A814C9" w:rsidRDefault="00A814C9" w:rsidP="00A814C9">
      <w:pPr>
        <w:tabs>
          <w:tab w:val="left" w:pos="1560"/>
        </w:tabs>
        <w:spacing w:after="0"/>
        <w:rPr>
          <w:color w:val="auto"/>
        </w:rPr>
      </w:pPr>
    </w:p>
    <w:p w:rsidR="00504AED" w:rsidRPr="00E15264" w:rsidRDefault="00504AED" w:rsidP="00A814C9">
      <w:pPr>
        <w:pStyle w:val="ListParagraph"/>
        <w:numPr>
          <w:ilvl w:val="0"/>
          <w:numId w:val="25"/>
        </w:numPr>
        <w:tabs>
          <w:tab w:val="left" w:pos="1560"/>
        </w:tabs>
        <w:spacing w:after="0"/>
      </w:pPr>
      <w:r w:rsidRPr="00E15264">
        <w:t>Put on disposable gloves to mitigate the risk for contamination of the sample during the collection process.</w:t>
      </w:r>
    </w:p>
    <w:p w:rsidR="00A814C9" w:rsidRPr="00E15264" w:rsidRDefault="00504AED" w:rsidP="00A814C9">
      <w:pPr>
        <w:pStyle w:val="ListParagraph"/>
        <w:numPr>
          <w:ilvl w:val="0"/>
          <w:numId w:val="25"/>
        </w:numPr>
        <w:tabs>
          <w:tab w:val="left" w:pos="1560"/>
        </w:tabs>
        <w:spacing w:after="0"/>
      </w:pPr>
      <w:r w:rsidRPr="00E15264">
        <w:t xml:space="preserve">Ensure the </w:t>
      </w:r>
      <w:r w:rsidR="00A814C9" w:rsidRPr="00E15264">
        <w:t>work surface and scale</w:t>
      </w:r>
      <w:r w:rsidRPr="00E15264">
        <w:t xml:space="preserve"> are clean and decontaminated.</w:t>
      </w:r>
    </w:p>
    <w:p w:rsidR="00A814C9" w:rsidRPr="00E15264" w:rsidRDefault="00A814C9" w:rsidP="00A814C9">
      <w:pPr>
        <w:pStyle w:val="ListParagraph"/>
        <w:numPr>
          <w:ilvl w:val="0"/>
          <w:numId w:val="25"/>
        </w:numPr>
        <w:tabs>
          <w:tab w:val="left" w:pos="1560"/>
        </w:tabs>
        <w:spacing w:after="0"/>
      </w:pPr>
      <w:r w:rsidRPr="00E15264">
        <w:t xml:space="preserve">Label </w:t>
      </w:r>
      <w:r w:rsidR="00504AED" w:rsidRPr="00E15264">
        <w:t xml:space="preserve">a </w:t>
      </w:r>
      <w:r w:rsidRPr="00E15264">
        <w:t>collect</w:t>
      </w:r>
      <w:r w:rsidR="00A915D3" w:rsidRPr="00E15264">
        <w:t>ion vessel with the strain name, the appropriate METRC identifie</w:t>
      </w:r>
      <w:r w:rsidRPr="00E15264">
        <w:t>r</w:t>
      </w:r>
      <w:r w:rsidR="00A915D3" w:rsidRPr="00E15264">
        <w:t>, and the batch</w:t>
      </w:r>
      <w:r w:rsidR="00694ED7">
        <w:t xml:space="preserve"> or lot</w:t>
      </w:r>
      <w:r w:rsidR="00A915D3" w:rsidRPr="00E15264">
        <w:t xml:space="preserve"> </w:t>
      </w:r>
      <w:r w:rsidR="00947BD6" w:rsidRPr="00E15264">
        <w:t>mass</w:t>
      </w:r>
      <w:r w:rsidR="00A915D3" w:rsidRPr="00E15264">
        <w:t>.</w:t>
      </w:r>
    </w:p>
    <w:p w:rsidR="00513BF3" w:rsidRPr="00E15264" w:rsidRDefault="00513BF3" w:rsidP="00513BF3">
      <w:pPr>
        <w:pStyle w:val="ListParagraph"/>
        <w:tabs>
          <w:tab w:val="left" w:pos="1560"/>
        </w:tabs>
        <w:spacing w:after="0"/>
      </w:pPr>
      <w:r w:rsidRPr="00E15264">
        <w:t xml:space="preserve">Do not sample if </w:t>
      </w:r>
      <w:r w:rsidR="00F6539D" w:rsidRPr="00E15264">
        <w:t>pertinent information is not available.</w:t>
      </w:r>
    </w:p>
    <w:p w:rsidR="00A814C9" w:rsidRPr="00E15264" w:rsidRDefault="00A814C9" w:rsidP="00A814C9">
      <w:pPr>
        <w:pStyle w:val="ListParagraph"/>
        <w:numPr>
          <w:ilvl w:val="0"/>
          <w:numId w:val="25"/>
        </w:numPr>
        <w:tabs>
          <w:tab w:val="left" w:pos="1560"/>
        </w:tabs>
        <w:spacing w:after="0"/>
      </w:pPr>
      <w:r w:rsidRPr="00E15264">
        <w:t>Retrieve the container you will be collecting the sample from</w:t>
      </w:r>
      <w:r w:rsidR="00947BD6" w:rsidRPr="00E15264">
        <w:t xml:space="preserve"> </w:t>
      </w:r>
      <w:r w:rsidRPr="00E15264">
        <w:t>and wipe off the lid of the container</w:t>
      </w:r>
      <w:r w:rsidR="00A915D3" w:rsidRPr="00E15264">
        <w:t>.</w:t>
      </w:r>
    </w:p>
    <w:p w:rsidR="00504AED" w:rsidRPr="00E15264" w:rsidRDefault="00F6539D" w:rsidP="00504AED">
      <w:pPr>
        <w:pStyle w:val="ListParagraph"/>
        <w:numPr>
          <w:ilvl w:val="0"/>
          <w:numId w:val="25"/>
        </w:numPr>
        <w:tabs>
          <w:tab w:val="left" w:pos="1560"/>
        </w:tabs>
        <w:spacing w:after="0"/>
      </w:pPr>
      <w:r w:rsidRPr="00E15264">
        <w:t xml:space="preserve">For usable </w:t>
      </w:r>
      <w:r w:rsidR="00125DBB" w:rsidRPr="00E15264">
        <w:t>cannabis</w:t>
      </w:r>
      <w:r w:rsidRPr="00E15264">
        <w:t xml:space="preserve">: </w:t>
      </w:r>
      <w:r w:rsidR="00A814C9" w:rsidRPr="00E15264">
        <w:t>Withdraw samples from the upper, middle and lower sections of each container.  With the upper section sample being taken from a depth of not less than 10 centimeters.  In circumstances where there are 1-10 containers in a batch, collect</w:t>
      </w:r>
      <w:r w:rsidR="00504AED" w:rsidRPr="00E15264">
        <w:t xml:space="preserve"> a sample from all containers.  Record the time the sample was collected, any inconsistencies with the sampling plan, or other remarks that might be relevant to data analysis or quality assurance.</w:t>
      </w:r>
    </w:p>
    <w:p w:rsidR="00F6539D" w:rsidRPr="00E15264" w:rsidRDefault="00F6539D" w:rsidP="00F6539D">
      <w:pPr>
        <w:pStyle w:val="ListParagraph"/>
        <w:tabs>
          <w:tab w:val="left" w:pos="1560"/>
        </w:tabs>
        <w:spacing w:after="0"/>
      </w:pPr>
    </w:p>
    <w:p w:rsidR="00F6539D" w:rsidRPr="00E15264" w:rsidRDefault="00F6539D" w:rsidP="00F6539D">
      <w:pPr>
        <w:pStyle w:val="ListParagraph"/>
        <w:tabs>
          <w:tab w:val="left" w:pos="1560"/>
        </w:tabs>
        <w:spacing w:after="0"/>
      </w:pPr>
      <w:r w:rsidRPr="00E15264">
        <w:t>For concentrates, extracts, and products</w:t>
      </w:r>
      <w:r w:rsidR="0063033A" w:rsidRPr="00E15264">
        <w:t xml:space="preserve"> (Solid and Semi Solid)</w:t>
      </w:r>
      <w:r w:rsidRPr="00E15264">
        <w:t xml:space="preserve">: </w:t>
      </w:r>
      <w:r w:rsidR="0063033A" w:rsidRPr="00E15264">
        <w:t xml:space="preserve">Each sample increment should be taken from a randomly chosen position in the </w:t>
      </w:r>
      <w:r w:rsidR="00CD306B">
        <w:t>lot</w:t>
      </w:r>
      <w:r w:rsidR="0063033A" w:rsidRPr="00E15264">
        <w:t>.  A sample increment should be taken from each container if possible.</w:t>
      </w:r>
    </w:p>
    <w:p w:rsidR="0063033A" w:rsidRPr="00E15264" w:rsidRDefault="0063033A" w:rsidP="00F6539D">
      <w:pPr>
        <w:pStyle w:val="ListParagraph"/>
        <w:tabs>
          <w:tab w:val="left" w:pos="1560"/>
        </w:tabs>
        <w:spacing w:after="0"/>
      </w:pPr>
    </w:p>
    <w:p w:rsidR="00504AED" w:rsidRPr="00E15264" w:rsidRDefault="0063033A" w:rsidP="00504AED">
      <w:pPr>
        <w:pStyle w:val="ListParagraph"/>
        <w:tabs>
          <w:tab w:val="left" w:pos="1560"/>
        </w:tabs>
        <w:spacing w:after="0"/>
      </w:pPr>
      <w:r w:rsidRPr="00E15264">
        <w:t xml:space="preserve">For concentrates, extracts, and products (Liquid): The sample should be chosen from a bulk container, ensure homogenization prior to product sampling by mixing the container thoroughly.  </w:t>
      </w:r>
    </w:p>
    <w:p w:rsidR="00A814C9" w:rsidRDefault="00A814C9" w:rsidP="00A814C9">
      <w:pPr>
        <w:tabs>
          <w:tab w:val="left" w:pos="1560"/>
        </w:tabs>
        <w:spacing w:after="0"/>
        <w:rPr>
          <w:color w:val="auto"/>
        </w:rPr>
      </w:pPr>
    </w:p>
    <w:p w:rsidR="00A814C9" w:rsidRPr="00E15264" w:rsidRDefault="00A814C9" w:rsidP="00A814C9">
      <w:pPr>
        <w:tabs>
          <w:tab w:val="left" w:pos="1560"/>
        </w:tabs>
        <w:spacing w:after="0"/>
      </w:pPr>
      <w:r w:rsidRPr="00A915D3">
        <w:rPr>
          <w:b/>
          <w:color w:val="auto"/>
        </w:rPr>
        <w:t>NOTE</w:t>
      </w:r>
      <w:r>
        <w:rPr>
          <w:color w:val="auto"/>
        </w:rPr>
        <w:t xml:space="preserve">:  </w:t>
      </w:r>
      <w:r w:rsidRPr="00E15264">
        <w:t xml:space="preserve">The minimum sample volume to be collected from each batch </w:t>
      </w:r>
      <w:r w:rsidR="00E40A2F" w:rsidRPr="00E15264">
        <w:t xml:space="preserve">of usable cannabis </w:t>
      </w:r>
      <w:r w:rsidRPr="00E15264">
        <w:t xml:space="preserve">is 0.5% of the batch </w:t>
      </w:r>
      <w:r w:rsidR="00E40A2F" w:rsidRPr="00E15264">
        <w:t>mass</w:t>
      </w:r>
      <w:r w:rsidRPr="00E15264">
        <w:t>.  The ITL must collect equal weights from each domain (upper, middle, and lower</w:t>
      </w:r>
      <w:r w:rsidR="00A915D3" w:rsidRPr="00E15264">
        <w:t xml:space="preserve"> sections of the batch container</w:t>
      </w:r>
      <w:r w:rsidRPr="00E15264">
        <w:t xml:space="preserve">) until the target </w:t>
      </w:r>
      <w:r w:rsidR="00A915D3" w:rsidRPr="00E15264">
        <w:t>sample weight is achieved.</w:t>
      </w:r>
    </w:p>
    <w:p w:rsidR="0063033A" w:rsidRPr="00E15264" w:rsidRDefault="0063033A" w:rsidP="00A814C9">
      <w:pPr>
        <w:tabs>
          <w:tab w:val="left" w:pos="1560"/>
        </w:tabs>
        <w:spacing w:after="0"/>
      </w:pPr>
      <w:r w:rsidRPr="00E15264">
        <w:t xml:space="preserve">If this does not supply sufficient mass for required analysis, the mass of the sample increments can be increased or decreased </w:t>
      </w:r>
      <w:r w:rsidR="00B02E53" w:rsidRPr="00E15264">
        <w:t>as long as they are equivalent to each other.</w:t>
      </w:r>
    </w:p>
    <w:p w:rsidR="00A915D3" w:rsidRPr="00E15264" w:rsidRDefault="00A915D3" w:rsidP="00A814C9">
      <w:pPr>
        <w:tabs>
          <w:tab w:val="left" w:pos="1560"/>
        </w:tabs>
        <w:spacing w:after="0"/>
      </w:pPr>
      <w:r w:rsidRPr="00E15264">
        <w:tab/>
      </w:r>
    </w:p>
    <w:p w:rsidR="00A915D3" w:rsidRPr="00E15264" w:rsidRDefault="00647ADF" w:rsidP="00A814C9">
      <w:pPr>
        <w:tabs>
          <w:tab w:val="left" w:pos="1560"/>
        </w:tabs>
        <w:spacing w:after="0"/>
      </w:pPr>
      <w:r>
        <w:t xml:space="preserve">       6</w:t>
      </w:r>
      <w:r w:rsidR="00A915D3" w:rsidRPr="00E15264">
        <w:t xml:space="preserve">)    Place the sample in the </w:t>
      </w:r>
      <w:r w:rsidR="00F6539D" w:rsidRPr="00E15264">
        <w:t xml:space="preserve">appropriate </w:t>
      </w:r>
      <w:r w:rsidR="00A915D3" w:rsidRPr="00E15264">
        <w:t>collection vessel, seal and place to the side.</w:t>
      </w:r>
    </w:p>
    <w:p w:rsidR="00504AED" w:rsidRPr="00E15264" w:rsidRDefault="00647ADF" w:rsidP="00A814C9">
      <w:pPr>
        <w:tabs>
          <w:tab w:val="left" w:pos="1560"/>
        </w:tabs>
        <w:spacing w:after="0"/>
      </w:pPr>
      <w:r>
        <w:t xml:space="preserve">       7</w:t>
      </w:r>
      <w:r w:rsidR="00A915D3" w:rsidRPr="00E15264">
        <w:t>)    Return bulk product container to its appropriate place.</w:t>
      </w:r>
    </w:p>
    <w:p w:rsidR="00A915D3" w:rsidRPr="00E15264" w:rsidRDefault="00647ADF" w:rsidP="00A814C9">
      <w:pPr>
        <w:tabs>
          <w:tab w:val="left" w:pos="1560"/>
        </w:tabs>
        <w:spacing w:after="0"/>
      </w:pPr>
      <w:r>
        <w:t xml:space="preserve">       8</w:t>
      </w:r>
      <w:r w:rsidR="00A915D3" w:rsidRPr="00E15264">
        <w:t>)    Wipe down the scale and work surface using either a 70% ethanol solution or bleach wipes.</w:t>
      </w:r>
    </w:p>
    <w:p w:rsidR="00A915D3" w:rsidRPr="00E15264" w:rsidRDefault="00647ADF" w:rsidP="00A915D3">
      <w:pPr>
        <w:tabs>
          <w:tab w:val="left" w:pos="1560"/>
        </w:tabs>
        <w:spacing w:after="0"/>
      </w:pPr>
      <w:r>
        <w:t xml:space="preserve">       9</w:t>
      </w:r>
      <w:r w:rsidR="00A915D3" w:rsidRPr="00E15264">
        <w:t>)    Dispose of gloves</w:t>
      </w:r>
      <w:r w:rsidR="00F6539D" w:rsidRPr="00E15264">
        <w:t>.</w:t>
      </w:r>
    </w:p>
    <w:p w:rsidR="00A915D3" w:rsidRPr="00E15264" w:rsidRDefault="00647ADF" w:rsidP="00A915D3">
      <w:pPr>
        <w:tabs>
          <w:tab w:val="left" w:pos="1560"/>
        </w:tabs>
        <w:spacing w:after="0"/>
      </w:pPr>
      <w:r>
        <w:t xml:space="preserve">     10</w:t>
      </w:r>
      <w:r w:rsidR="00A915D3" w:rsidRPr="00E15264">
        <w:t xml:space="preserve">)    </w:t>
      </w:r>
      <w:r w:rsidR="00F6539D" w:rsidRPr="00E15264">
        <w:t>Document the appropriate chain of custody information in METRC.</w:t>
      </w:r>
    </w:p>
    <w:p w:rsidR="00A814C9" w:rsidRPr="00E15264" w:rsidRDefault="00A814C9" w:rsidP="00A814C9">
      <w:pPr>
        <w:tabs>
          <w:tab w:val="left" w:pos="1560"/>
        </w:tabs>
        <w:spacing w:after="0"/>
      </w:pPr>
    </w:p>
    <w:p w:rsidR="00A814C9" w:rsidRPr="00E15264" w:rsidRDefault="00A814C9" w:rsidP="00A814C9">
      <w:pPr>
        <w:tabs>
          <w:tab w:val="left" w:pos="1560"/>
        </w:tabs>
        <w:spacing w:after="0"/>
        <w:rPr>
          <w:i/>
        </w:rPr>
      </w:pPr>
    </w:p>
    <w:bookmarkEnd w:id="5"/>
    <w:p w:rsidR="008E129D" w:rsidRPr="00E15264" w:rsidRDefault="008E129D" w:rsidP="008E129D">
      <w:pPr>
        <w:pStyle w:val="References"/>
        <w:rPr>
          <w:i/>
          <w:sz w:val="16"/>
          <w:szCs w:val="16"/>
        </w:rPr>
      </w:pPr>
      <w:r w:rsidRPr="00E15264">
        <w:rPr>
          <w:i/>
          <w:sz w:val="16"/>
          <w:szCs w:val="16"/>
        </w:rPr>
        <w:t xml:space="preserve">*The following sample collection procedure is based U.S. </w:t>
      </w:r>
      <w:r w:rsidR="00F65309" w:rsidRPr="00E15264">
        <w:rPr>
          <w:i/>
          <w:sz w:val="16"/>
          <w:szCs w:val="16"/>
        </w:rPr>
        <w:t>Pharmacopeia</w:t>
      </w:r>
      <w:r w:rsidRPr="00E15264">
        <w:rPr>
          <w:i/>
          <w:sz w:val="16"/>
          <w:szCs w:val="16"/>
        </w:rPr>
        <w:t xml:space="preserve"> Convention Chemical Tests / 561 Articles of Botanical Origin.  2014 July.</w:t>
      </w:r>
    </w:p>
    <w:p w:rsidR="00A814C9" w:rsidRPr="00A814C9" w:rsidRDefault="00A814C9" w:rsidP="00A814C9">
      <w:pPr>
        <w:tabs>
          <w:tab w:val="left" w:pos="1560"/>
        </w:tabs>
        <w:spacing w:after="0"/>
        <w:rPr>
          <w:color w:val="auto"/>
        </w:rPr>
      </w:pPr>
    </w:p>
    <w:p w:rsidR="00504AED" w:rsidRDefault="00504AED" w:rsidP="00504AED"/>
    <w:p w:rsidR="008E040D" w:rsidRPr="00504AED" w:rsidRDefault="008E040D" w:rsidP="00504AED">
      <w:r w:rsidRPr="008E040D">
        <w:rPr>
          <w:b/>
          <w:color w:val="1F4E79" w:themeColor="accent1" w:themeShade="80"/>
          <w:sz w:val="28"/>
          <w:szCs w:val="28"/>
        </w:rPr>
        <w:lastRenderedPageBreak/>
        <w:t>PESTICIDES</w:t>
      </w:r>
    </w:p>
    <w:p w:rsidR="00247DF0" w:rsidRDefault="00647ADF" w:rsidP="007C0C8F">
      <w:pPr>
        <w:spacing w:after="0"/>
      </w:pPr>
      <w:r>
        <w:t>COMAR 10.62.11.03G</w:t>
      </w:r>
      <w:r w:rsidR="00DB2C50" w:rsidRPr="00DB2C50">
        <w:t xml:space="preserve"> states pesticide applicators and applications shall follow state and federal pesticide requirements for any pesticide applied.  MMCC’s current list of pesticide targets are documented in Table 1</w:t>
      </w:r>
      <w:r w:rsidR="00DB2C50" w:rsidRPr="00DB2C50">
        <w:rPr>
          <w:iCs/>
        </w:rPr>
        <w:t xml:space="preserve">.  The MMCC created the current list of pesticide targets by initially comparing lists from other states performing pesticide screens with the compounds named in the American Herbal Pharmacopoeia as commonly used in cannabis cultivation. Please note these compounds will be continually evaluated and updated based on available scientific and industry information.  </w:t>
      </w:r>
      <w:r w:rsidR="00DB2C50" w:rsidRPr="001C418A">
        <w:rPr>
          <w:iCs/>
        </w:rPr>
        <w:t>Action levels will be developed ba</w:t>
      </w:r>
      <w:r w:rsidR="00E40A2F" w:rsidRPr="001C418A">
        <w:rPr>
          <w:iCs/>
        </w:rPr>
        <w:t>sed on limit</w:t>
      </w:r>
      <w:r>
        <w:rPr>
          <w:iCs/>
        </w:rPr>
        <w:t>s</w:t>
      </w:r>
      <w:r w:rsidR="00E40A2F" w:rsidRPr="001C418A">
        <w:rPr>
          <w:iCs/>
        </w:rPr>
        <w:t xml:space="preserve"> of quantitation (LOQ) achievable by the ITL</w:t>
      </w:r>
      <w:r w:rsidR="00DB2C50" w:rsidRPr="001C418A">
        <w:rPr>
          <w:iCs/>
        </w:rPr>
        <w:t>.</w:t>
      </w:r>
      <w:r w:rsidR="00DB2C50" w:rsidRPr="001C418A">
        <w:rPr>
          <w:i/>
          <w:iCs/>
        </w:rPr>
        <w:t xml:space="preserve"> </w:t>
      </w:r>
      <w:r w:rsidR="00DB2C50" w:rsidRPr="00DB2C50">
        <w:t xml:space="preserve">Cannabis samples with pesticide active ingredients detected above the action level listed below fail and the product must be destroyed. </w:t>
      </w:r>
    </w:p>
    <w:p w:rsidR="00247DF0" w:rsidRPr="007C0C8F" w:rsidRDefault="00DB2C50" w:rsidP="00247DF0">
      <w:pPr>
        <w:rPr>
          <w:b/>
          <w:i/>
        </w:rPr>
      </w:pPr>
      <w:r w:rsidRPr="00DB2C50">
        <w:rPr>
          <w:b/>
          <w:bCs/>
        </w:rPr>
        <w:tab/>
      </w:r>
      <w:r w:rsidR="00247DF0">
        <w:rPr>
          <w:b/>
          <w:bCs/>
        </w:rPr>
        <w:tab/>
      </w:r>
      <w:r w:rsidR="00247DF0" w:rsidRPr="00E15264">
        <w:rPr>
          <w:b/>
          <w:i/>
          <w:color w:val="000000" w:themeColor="text1"/>
        </w:rPr>
        <w:t xml:space="preserve">Table </w:t>
      </w:r>
      <w:r w:rsidR="00247DF0" w:rsidRPr="00E15264">
        <w:rPr>
          <w:b/>
          <w:i/>
          <w:color w:val="000000" w:themeColor="text1"/>
        </w:rPr>
        <w:fldChar w:fldCharType="begin"/>
      </w:r>
      <w:r w:rsidR="00247DF0" w:rsidRPr="00E15264">
        <w:rPr>
          <w:b/>
          <w:i/>
          <w:color w:val="000000" w:themeColor="text1"/>
        </w:rPr>
        <w:instrText xml:space="preserve"> SEQ Table \* ARABIC </w:instrText>
      </w:r>
      <w:r w:rsidR="00247DF0" w:rsidRPr="00E15264">
        <w:rPr>
          <w:b/>
          <w:i/>
          <w:color w:val="000000" w:themeColor="text1"/>
        </w:rPr>
        <w:fldChar w:fldCharType="separate"/>
      </w:r>
      <w:r w:rsidR="004C7329">
        <w:rPr>
          <w:b/>
          <w:i/>
          <w:noProof/>
          <w:color w:val="000000" w:themeColor="text1"/>
        </w:rPr>
        <w:t>1</w:t>
      </w:r>
      <w:r w:rsidR="00247DF0" w:rsidRPr="00E15264">
        <w:rPr>
          <w:b/>
          <w:i/>
          <w:noProof/>
          <w:color w:val="000000" w:themeColor="text1"/>
        </w:rPr>
        <w:fldChar w:fldCharType="end"/>
      </w:r>
      <w:r w:rsidR="00247DF0" w:rsidRPr="00E15264">
        <w:rPr>
          <w:b/>
          <w:i/>
          <w:color w:val="000000" w:themeColor="text1"/>
        </w:rPr>
        <w:t xml:space="preserve">: </w:t>
      </w:r>
      <w:r w:rsidR="00BE316A" w:rsidRPr="00E15264">
        <w:rPr>
          <w:b/>
          <w:i/>
          <w:color w:val="000000" w:themeColor="text1"/>
        </w:rPr>
        <w:t>List of Target Pesticides and Plant Growth R</w:t>
      </w:r>
      <w:r w:rsidR="00247DF0" w:rsidRPr="00E15264">
        <w:rPr>
          <w:b/>
          <w:i/>
          <w:color w:val="000000" w:themeColor="text1"/>
        </w:rPr>
        <w:t>egulators</w:t>
      </w:r>
      <w:r w:rsidR="00BE316A" w:rsidRPr="00E15264">
        <w:rPr>
          <w:b/>
          <w:i/>
          <w:color w:val="000000" w:themeColor="text1"/>
        </w:rPr>
        <w:t xml:space="preserve"> in Parts Per Million</w:t>
      </w:r>
      <w:r w:rsidR="00247DF0" w:rsidRPr="00E15264">
        <w:rPr>
          <w:b/>
          <w:i/>
          <w:color w:val="000000" w:themeColor="text1"/>
        </w:rPr>
        <w:t xml:space="preserve"> (PPM)</w:t>
      </w:r>
    </w:p>
    <w:p w:rsidR="00DB2C50" w:rsidRPr="00DB2C50" w:rsidRDefault="004B2689" w:rsidP="007C0C8F">
      <w:pPr>
        <w:spacing w:after="0"/>
        <w:rPr>
          <w:b/>
          <w:bCs/>
        </w:rPr>
      </w:pPr>
      <w:r>
        <w:rPr>
          <w:b/>
          <w:bCs/>
          <w:noProof/>
          <w:lang w:eastAsia="en-US"/>
        </w:rPr>
        <w:drawing>
          <wp:inline distT="0" distB="0" distL="0" distR="0" wp14:anchorId="127864D6">
            <wp:extent cx="6028690" cy="6066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8690" cy="6066790"/>
                    </a:xfrm>
                    <a:prstGeom prst="rect">
                      <a:avLst/>
                    </a:prstGeom>
                    <a:noFill/>
                  </pic:spPr>
                </pic:pic>
              </a:graphicData>
            </a:graphic>
          </wp:inline>
        </w:drawing>
      </w:r>
    </w:p>
    <w:p w:rsidR="00DB2C50" w:rsidRPr="00DB2C50" w:rsidRDefault="00DB2C50" w:rsidP="00DB2C50">
      <w:r w:rsidRPr="00DB2C50">
        <w:tab/>
      </w:r>
      <w:r w:rsidRPr="00DB2C50">
        <w:tab/>
      </w:r>
      <w:r w:rsidRPr="00DB2C50">
        <w:rPr>
          <w:sz w:val="28"/>
          <w:szCs w:val="28"/>
        </w:rPr>
        <w:tab/>
      </w:r>
      <w:r w:rsidRPr="00DB2C50">
        <w:rPr>
          <w:sz w:val="28"/>
          <w:szCs w:val="28"/>
        </w:rPr>
        <w:tab/>
      </w:r>
    </w:p>
    <w:p w:rsidR="00DB2C50" w:rsidRDefault="00DB2C50" w:rsidP="00DB2C50">
      <w:pPr>
        <w:pStyle w:val="Heading1"/>
      </w:pPr>
      <w:bookmarkStart w:id="6" w:name="_Toc482256303"/>
      <w:bookmarkStart w:id="7" w:name="_Toc482256324"/>
      <w:r>
        <w:lastRenderedPageBreak/>
        <w:t>Residual Solvents</w:t>
      </w:r>
      <w:bookmarkEnd w:id="6"/>
      <w:bookmarkEnd w:id="7"/>
    </w:p>
    <w:p w:rsidR="00DB2C50" w:rsidRDefault="00DB2C50" w:rsidP="00DB2C50">
      <w:r>
        <w:t>Some producers of cannabis products use solvents to extract and/or concentrate the active ingredients from cannabis.  The MMCC has adopted a list of target residual solvents based on common extraction and concentration techniques in the industry.  Concentration limits are based on the “Inter</w:t>
      </w:r>
      <w:r w:rsidR="007C0C8F">
        <w:t xml:space="preserve">national Conference for </w:t>
      </w:r>
      <w:proofErr w:type="spellStart"/>
      <w:r w:rsidR="007C0C8F">
        <w:t>Harmonis</w:t>
      </w:r>
      <w:r>
        <w:t>ation</w:t>
      </w:r>
      <w:proofErr w:type="spellEnd"/>
      <w:r>
        <w:t xml:space="preserve"> </w:t>
      </w:r>
      <w:r w:rsidR="007C0C8F">
        <w:t xml:space="preserve">(ICH) </w:t>
      </w:r>
      <w:r>
        <w:t xml:space="preserve">Guideline Q3C (R5) on Impurities: Guidelines for residual solvents”.  The concentration limits listed in ICH Q3C are based on the toxicity of the individual solvent and on the magnitude of exposure to occur from consuming </w:t>
      </w:r>
      <w:r>
        <w:rPr>
          <w:u w:val="single"/>
        </w:rPr>
        <w:t xml:space="preserve">10 grams </w:t>
      </w:r>
      <w:r>
        <w:t xml:space="preserve">of the pharmaceutical.  It is unlikely that a medical cannabis user would consume &gt;10 grams of cannabis extract or concentrate in a single day.  </w:t>
      </w:r>
    </w:p>
    <w:p w:rsidR="00DB2C50" w:rsidRPr="007C0C8F" w:rsidRDefault="00DB2C50" w:rsidP="00DB2C50">
      <w:pPr>
        <w:rPr>
          <w:i/>
        </w:rPr>
      </w:pPr>
      <w:r w:rsidRPr="007C0C8F">
        <w:rPr>
          <w:i/>
        </w:rPr>
        <w:t xml:space="preserve">Note: No health-based solvent residual limits have been established specifically for cannabis extract or concentrate products.  We are uncertain whether the selected action levels for solvents in cannabis products sufficiently protect persons who smoke cannabis.  However, the ICH Q3C does assume 100% absorption by any exposure route.  </w:t>
      </w:r>
    </w:p>
    <w:p w:rsidR="00DB2C50" w:rsidRPr="00E15264" w:rsidRDefault="00DB2C50" w:rsidP="007C0C8F">
      <w:pPr>
        <w:pStyle w:val="Caption"/>
        <w:tabs>
          <w:tab w:val="left" w:pos="5376"/>
        </w:tabs>
        <w:jc w:val="center"/>
        <w:rPr>
          <w:b/>
          <w:color w:val="auto"/>
        </w:rPr>
      </w:pPr>
      <w:r w:rsidRPr="00E15264">
        <w:rPr>
          <w:b/>
          <w:color w:val="auto"/>
        </w:rPr>
        <w:t xml:space="preserve">Table </w:t>
      </w:r>
      <w:r w:rsidR="007F02B7" w:rsidRPr="00E15264">
        <w:rPr>
          <w:b/>
          <w:color w:val="auto"/>
        </w:rPr>
        <w:fldChar w:fldCharType="begin"/>
      </w:r>
      <w:r w:rsidR="007F02B7" w:rsidRPr="00E15264">
        <w:rPr>
          <w:b/>
          <w:color w:val="auto"/>
        </w:rPr>
        <w:instrText xml:space="preserve"> SEQ Table \* ARABIC </w:instrText>
      </w:r>
      <w:r w:rsidR="007F02B7" w:rsidRPr="00E15264">
        <w:rPr>
          <w:b/>
          <w:color w:val="auto"/>
        </w:rPr>
        <w:fldChar w:fldCharType="separate"/>
      </w:r>
      <w:r w:rsidR="004C7329">
        <w:rPr>
          <w:b/>
          <w:noProof/>
          <w:color w:val="auto"/>
        </w:rPr>
        <w:t>2</w:t>
      </w:r>
      <w:r w:rsidR="007F02B7" w:rsidRPr="00E15264">
        <w:rPr>
          <w:b/>
          <w:noProof/>
          <w:color w:val="auto"/>
        </w:rPr>
        <w:fldChar w:fldCharType="end"/>
      </w:r>
      <w:r w:rsidRPr="00E15264">
        <w:rPr>
          <w:b/>
          <w:color w:val="auto"/>
        </w:rPr>
        <w:t xml:space="preserve">: Concentration Limits for Residual Solvents </w:t>
      </w:r>
      <w:r w:rsidR="00BE316A" w:rsidRPr="00E15264">
        <w:rPr>
          <w:b/>
          <w:color w:val="auto"/>
        </w:rPr>
        <w:t xml:space="preserve">in Parts Per Million </w:t>
      </w:r>
      <w:r w:rsidRPr="00E15264">
        <w:rPr>
          <w:b/>
          <w:color w:val="auto"/>
        </w:rPr>
        <w:t>(PPM)</w:t>
      </w:r>
    </w:p>
    <w:p w:rsidR="007C0C8F" w:rsidRDefault="00DB2C50" w:rsidP="007C0C8F">
      <w:pPr>
        <w:jc w:val="center"/>
      </w:pPr>
      <w:r>
        <w:rPr>
          <w:noProof/>
          <w:lang w:eastAsia="en-US"/>
        </w:rPr>
        <w:drawing>
          <wp:inline distT="0" distB="0" distL="0" distR="0" wp14:anchorId="360CE2DA" wp14:editId="27678FFA">
            <wp:extent cx="2505075" cy="334264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3342640"/>
                    </a:xfrm>
                    <a:prstGeom prst="rect">
                      <a:avLst/>
                    </a:prstGeom>
                    <a:noFill/>
                  </pic:spPr>
                </pic:pic>
              </a:graphicData>
            </a:graphic>
          </wp:inline>
        </w:drawing>
      </w:r>
    </w:p>
    <w:p w:rsidR="007C0C8F" w:rsidRDefault="007C0C8F" w:rsidP="00DB2C50">
      <w:pPr>
        <w:pStyle w:val="Heading1"/>
      </w:pPr>
    </w:p>
    <w:p w:rsidR="007C0C8F" w:rsidRDefault="007C0C8F" w:rsidP="00DB2C50">
      <w:pPr>
        <w:pStyle w:val="Heading1"/>
      </w:pPr>
    </w:p>
    <w:p w:rsidR="007C0C8F" w:rsidRDefault="007C0C8F" w:rsidP="00DB2C50">
      <w:pPr>
        <w:pStyle w:val="Heading1"/>
      </w:pPr>
      <w:r>
        <w:t xml:space="preserve">                                                                                                                  </w:t>
      </w:r>
    </w:p>
    <w:p w:rsidR="007C0C8F" w:rsidRDefault="007C0C8F" w:rsidP="00DB2C50">
      <w:pPr>
        <w:pStyle w:val="Caption"/>
      </w:pPr>
    </w:p>
    <w:p w:rsidR="007C0C8F" w:rsidRDefault="007C0C8F" w:rsidP="00DB2C50">
      <w:pPr>
        <w:pStyle w:val="Caption"/>
      </w:pPr>
    </w:p>
    <w:p w:rsidR="007C0C8F" w:rsidRDefault="007C0C8F" w:rsidP="007C0C8F">
      <w:pPr>
        <w:pStyle w:val="Heading1"/>
      </w:pPr>
      <w:bookmarkStart w:id="8" w:name="_Toc482256304"/>
      <w:bookmarkStart w:id="9" w:name="_Toc482256325"/>
      <w:r>
        <w:lastRenderedPageBreak/>
        <w:t>Microbiological Impurities</w:t>
      </w:r>
      <w:bookmarkEnd w:id="8"/>
      <w:bookmarkEnd w:id="9"/>
    </w:p>
    <w:p w:rsidR="007C0C8F" w:rsidRDefault="007C0C8F" w:rsidP="007C0C8F">
      <w:r>
        <w:t xml:space="preserve">The presence of microbes is common in all natural products.  It is important to distinguish between organisms ubiquitous in nature and those that are known pathogens.  “Indicator tests” don’t directly test for pathogens, but serve as quality tests or indications that follow-up pathogen testing should be performed (Holmes et al. 2015).  Additionally, microbial and fungal limits are not typically reported as “pass/fail”, the MMCC has established acceptable limits of detection based on the literature available. The MMCC requires microbiological impurities to be tested according to COMAR </w:t>
      </w:r>
      <w:proofErr w:type="gramStart"/>
      <w:r>
        <w:t>1</w:t>
      </w:r>
      <w:r w:rsidR="00647ADF">
        <w:t>0.62.15.05B</w:t>
      </w:r>
      <w:r w:rsidR="00AC437C">
        <w:t>(</w:t>
      </w:r>
      <w:proofErr w:type="gramEnd"/>
      <w:r w:rsidR="00AC437C">
        <w:t>3) and COMAR 10.62.23.03A</w:t>
      </w:r>
      <w:r>
        <w:t>(2)(c).  The criteria for acceptability in Table 3 (below) lists the microbiological impurities and the detection limits associated with each organism to be tested.</w:t>
      </w:r>
    </w:p>
    <w:p w:rsidR="007C0C8F" w:rsidRDefault="007C0C8F" w:rsidP="007C0C8F">
      <w:r>
        <w:t>Water activity (Aw) is a measure of the available water that can be utilized for microbiological gr</w:t>
      </w:r>
      <w:r w:rsidR="00984AC5">
        <w:t>owth.  Aw ranges from 0 to 1 with</w:t>
      </w:r>
      <w:r>
        <w:t xml:space="preserve"> </w:t>
      </w:r>
      <w:r w:rsidR="00984AC5">
        <w:t xml:space="preserve">microbial growth </w:t>
      </w:r>
      <w:r w:rsidR="00AC437C">
        <w:t xml:space="preserve">unlikely </w:t>
      </w:r>
      <w:r>
        <w:t>below Aw 0</w:t>
      </w:r>
      <w:r w:rsidR="00AC437C">
        <w:t>.6</w:t>
      </w:r>
      <w:r>
        <w:t>.  Most cannabis is dried and cured to a final water activity level of Aw 0.3-0.6, most pathogens cannot grow below Aw 0.9 (Holmes et al. 2015).  Water activity, or the moisture of the cannabis flower in units, measured below Aw 0.65 will safeguard cannabis products against microbial growth during storage and before sale.</w:t>
      </w:r>
    </w:p>
    <w:p w:rsidR="007C0C8F" w:rsidRDefault="007C0C8F" w:rsidP="00DB2C50">
      <w:pPr>
        <w:pStyle w:val="Caption"/>
      </w:pPr>
    </w:p>
    <w:p w:rsidR="007C0C8F" w:rsidRDefault="007C0C8F" w:rsidP="00DB2C50">
      <w:pPr>
        <w:pStyle w:val="Caption"/>
      </w:pPr>
    </w:p>
    <w:p w:rsidR="007C0C8F" w:rsidRDefault="007C0C8F" w:rsidP="00DB2C50">
      <w:pPr>
        <w:pStyle w:val="Caption"/>
      </w:pPr>
    </w:p>
    <w:p w:rsidR="00DB2C50" w:rsidRPr="00E15264" w:rsidRDefault="00DB2C50" w:rsidP="00BE316A">
      <w:pPr>
        <w:pStyle w:val="Caption"/>
        <w:rPr>
          <w:b/>
          <w:color w:val="auto"/>
        </w:rPr>
      </w:pPr>
      <w:r w:rsidRPr="00E15264">
        <w:rPr>
          <w:b/>
          <w:color w:val="auto"/>
        </w:rPr>
        <w:t xml:space="preserve">Table </w:t>
      </w:r>
      <w:r w:rsidR="007F02B7" w:rsidRPr="00E15264">
        <w:rPr>
          <w:b/>
          <w:color w:val="auto"/>
        </w:rPr>
        <w:fldChar w:fldCharType="begin"/>
      </w:r>
      <w:r w:rsidR="007F02B7" w:rsidRPr="00E15264">
        <w:rPr>
          <w:b/>
          <w:color w:val="auto"/>
        </w:rPr>
        <w:instrText xml:space="preserve"> SEQ Table \* ARABIC </w:instrText>
      </w:r>
      <w:r w:rsidR="007F02B7" w:rsidRPr="00E15264">
        <w:rPr>
          <w:b/>
          <w:color w:val="auto"/>
        </w:rPr>
        <w:fldChar w:fldCharType="separate"/>
      </w:r>
      <w:r w:rsidR="004C7329">
        <w:rPr>
          <w:b/>
          <w:noProof/>
          <w:color w:val="auto"/>
        </w:rPr>
        <w:t>3</w:t>
      </w:r>
      <w:r w:rsidR="007F02B7" w:rsidRPr="00E15264">
        <w:rPr>
          <w:b/>
          <w:noProof/>
          <w:color w:val="auto"/>
        </w:rPr>
        <w:fldChar w:fldCharType="end"/>
      </w:r>
      <w:r w:rsidRPr="00E15264">
        <w:rPr>
          <w:b/>
          <w:color w:val="auto"/>
        </w:rPr>
        <w:t>: Microbiological Impurities and Accepted Detection Limits</w:t>
      </w:r>
      <w:r w:rsidR="00BE316A" w:rsidRPr="00E15264">
        <w:rPr>
          <w:b/>
          <w:color w:val="auto"/>
        </w:rPr>
        <w:t xml:space="preserve"> in Colony Forming Units (CFU/g) and Parts </w:t>
      </w:r>
      <w:proofErr w:type="gramStart"/>
      <w:r w:rsidR="00BE316A" w:rsidRPr="00E15264">
        <w:rPr>
          <w:b/>
          <w:color w:val="auto"/>
        </w:rPr>
        <w:t>Per</w:t>
      </w:r>
      <w:proofErr w:type="gramEnd"/>
      <w:r w:rsidR="00BE316A" w:rsidRPr="00E15264">
        <w:rPr>
          <w:b/>
          <w:color w:val="auto"/>
        </w:rPr>
        <w:t xml:space="preserve"> Billion (PPB)</w:t>
      </w:r>
    </w:p>
    <w:p w:rsidR="00DB2C50" w:rsidRDefault="00DB2C50" w:rsidP="00895AD0">
      <w:r>
        <w:rPr>
          <w:noProof/>
          <w:lang w:eastAsia="en-US"/>
        </w:rPr>
        <w:drawing>
          <wp:inline distT="0" distB="0" distL="0" distR="0" wp14:anchorId="4B0B27EF" wp14:editId="0607EBEC">
            <wp:extent cx="5380990" cy="2818765"/>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0990" cy="2818765"/>
                    </a:xfrm>
                    <a:prstGeom prst="rect">
                      <a:avLst/>
                    </a:prstGeom>
                    <a:noFill/>
                  </pic:spPr>
                </pic:pic>
              </a:graphicData>
            </a:graphic>
          </wp:inline>
        </w:drawing>
      </w:r>
    </w:p>
    <w:p w:rsidR="007C0C8F" w:rsidRDefault="007C0C8F" w:rsidP="00DB2C50">
      <w:pPr>
        <w:pStyle w:val="Heading1"/>
      </w:pPr>
    </w:p>
    <w:p w:rsidR="007C0C8F" w:rsidRDefault="007C0C8F" w:rsidP="00DB2C50">
      <w:pPr>
        <w:pStyle w:val="Heading1"/>
      </w:pPr>
    </w:p>
    <w:p w:rsidR="007C0C8F" w:rsidRDefault="007C0C8F" w:rsidP="007C0C8F">
      <w:pPr>
        <w:pStyle w:val="Caption"/>
        <w:ind w:left="1440" w:firstLine="720"/>
        <w:rPr>
          <w:b/>
        </w:rPr>
      </w:pPr>
    </w:p>
    <w:p w:rsidR="007C0C8F" w:rsidRDefault="007C0C8F" w:rsidP="007C0C8F">
      <w:pPr>
        <w:pStyle w:val="Caption"/>
        <w:ind w:left="1440" w:firstLine="720"/>
        <w:rPr>
          <w:b/>
        </w:rPr>
      </w:pPr>
    </w:p>
    <w:p w:rsidR="007C0C8F" w:rsidRDefault="007C0C8F" w:rsidP="007C0C8F">
      <w:pPr>
        <w:pStyle w:val="Heading1"/>
      </w:pPr>
      <w:bookmarkStart w:id="10" w:name="_Toc482256305"/>
      <w:bookmarkStart w:id="11" w:name="_Toc482256326"/>
      <w:r>
        <w:lastRenderedPageBreak/>
        <w:t>Heavy Metals</w:t>
      </w:r>
      <w:bookmarkEnd w:id="10"/>
      <w:bookmarkEnd w:id="11"/>
    </w:p>
    <w:p w:rsidR="007C0C8F" w:rsidRPr="00D93E1C" w:rsidRDefault="007C0C8F" w:rsidP="007C0C8F">
      <w:pPr>
        <w:rPr>
          <w:b/>
          <w:bCs/>
          <w:i/>
          <w:iCs/>
        </w:rPr>
      </w:pPr>
      <w:r>
        <w:t>Elemental impurities do not provide any therapeutic benefit to the medical cannabis patient.  Because of their high degree of toxicity, arsenic, cadmium, chromium, lead, and mercury rank among the priority metals that are of public health significance (</w:t>
      </w:r>
      <w:proofErr w:type="spellStart"/>
      <w:r>
        <w:t>Tchounwou</w:t>
      </w:r>
      <w:proofErr w:type="spellEnd"/>
      <w:r>
        <w:t xml:space="preserve"> P et al. 2012).  </w:t>
      </w:r>
      <w:r w:rsidRPr="00D93E1C">
        <w:t>The MMCC requires an ITL to test for heavy metal presence in medi</w:t>
      </w:r>
      <w:r w:rsidR="003375D4">
        <w:t xml:space="preserve">cal cannabis (COMAR </w:t>
      </w:r>
      <w:proofErr w:type="gramStart"/>
      <w:r w:rsidR="003375D4">
        <w:t>10.62.15.05B</w:t>
      </w:r>
      <w:r w:rsidRPr="00D93E1C">
        <w:t>(</w:t>
      </w:r>
      <w:proofErr w:type="gramEnd"/>
      <w:r w:rsidRPr="00D93E1C">
        <w:t xml:space="preserve">1)). Table 4 lists the eight heavy metals required in contaminant testing and their associated concentration limits based on a </w:t>
      </w:r>
      <w:r w:rsidRPr="00D93E1C">
        <w:rPr>
          <w:u w:val="single"/>
        </w:rPr>
        <w:t>5 gram/day</w:t>
      </w:r>
      <w:r w:rsidRPr="00D93E1C">
        <w:t xml:space="preserve"> consumption of medical cannabis.</w:t>
      </w:r>
    </w:p>
    <w:p w:rsidR="007C0C8F" w:rsidRPr="007C0C8F" w:rsidRDefault="007C0C8F" w:rsidP="007C0C8F">
      <w:pPr>
        <w:rPr>
          <w:i/>
        </w:rPr>
      </w:pPr>
      <w:r w:rsidRPr="007C0C8F">
        <w:rPr>
          <w:i/>
        </w:rPr>
        <w:t>Note: The permitted daily exposure (PDE) for heavy metals is based on the Q3D Elemental Impurities Guidance for Industry.</w:t>
      </w:r>
    </w:p>
    <w:p w:rsidR="007C0C8F" w:rsidRDefault="007C0C8F" w:rsidP="007C0C8F">
      <w:pPr>
        <w:pStyle w:val="Caption"/>
        <w:ind w:left="1440" w:firstLine="720"/>
        <w:rPr>
          <w:b/>
        </w:rPr>
      </w:pPr>
    </w:p>
    <w:p w:rsidR="008B25CB" w:rsidRPr="008B25CB" w:rsidRDefault="008B25CB" w:rsidP="008B25CB"/>
    <w:p w:rsidR="007C0C8F" w:rsidRDefault="007C0C8F" w:rsidP="007C0C8F">
      <w:pPr>
        <w:pStyle w:val="Caption"/>
        <w:ind w:left="1440" w:firstLine="720"/>
        <w:jc w:val="both"/>
        <w:rPr>
          <w:b/>
        </w:rPr>
      </w:pPr>
    </w:p>
    <w:p w:rsidR="00DB2C50" w:rsidRPr="00574FFA" w:rsidRDefault="00DB2C50" w:rsidP="00BE316A">
      <w:pPr>
        <w:pStyle w:val="Caption"/>
        <w:ind w:left="1440"/>
        <w:rPr>
          <w:b/>
          <w:color w:val="auto"/>
        </w:rPr>
      </w:pPr>
      <w:r w:rsidRPr="00574FFA">
        <w:rPr>
          <w:b/>
          <w:color w:val="auto"/>
        </w:rPr>
        <w:t xml:space="preserve">Table </w:t>
      </w:r>
      <w:r w:rsidR="007F02B7" w:rsidRPr="00574FFA">
        <w:rPr>
          <w:b/>
          <w:color w:val="auto"/>
        </w:rPr>
        <w:fldChar w:fldCharType="begin"/>
      </w:r>
      <w:r w:rsidR="007F02B7" w:rsidRPr="00574FFA">
        <w:rPr>
          <w:b/>
          <w:color w:val="auto"/>
        </w:rPr>
        <w:instrText xml:space="preserve"> SEQ Table \* ARABIC </w:instrText>
      </w:r>
      <w:r w:rsidR="007F02B7" w:rsidRPr="00574FFA">
        <w:rPr>
          <w:b/>
          <w:color w:val="auto"/>
        </w:rPr>
        <w:fldChar w:fldCharType="separate"/>
      </w:r>
      <w:r w:rsidR="004C7329">
        <w:rPr>
          <w:b/>
          <w:noProof/>
          <w:color w:val="auto"/>
        </w:rPr>
        <w:t>4</w:t>
      </w:r>
      <w:r w:rsidR="007F02B7" w:rsidRPr="00574FFA">
        <w:rPr>
          <w:b/>
          <w:noProof/>
          <w:color w:val="auto"/>
        </w:rPr>
        <w:fldChar w:fldCharType="end"/>
      </w:r>
      <w:r w:rsidR="00BE316A" w:rsidRPr="00574FFA">
        <w:rPr>
          <w:b/>
          <w:color w:val="auto"/>
        </w:rPr>
        <w:t>: Heavy Metals and Associated C</w:t>
      </w:r>
      <w:r w:rsidRPr="00574FFA">
        <w:rPr>
          <w:b/>
          <w:color w:val="auto"/>
        </w:rPr>
        <w:t>oncentration</w:t>
      </w:r>
      <w:r w:rsidR="00BE316A" w:rsidRPr="00574FFA">
        <w:rPr>
          <w:b/>
          <w:color w:val="auto"/>
        </w:rPr>
        <w:t xml:space="preserve"> L</w:t>
      </w:r>
      <w:r w:rsidRPr="00574FFA">
        <w:rPr>
          <w:b/>
          <w:color w:val="auto"/>
        </w:rPr>
        <w:t>imits</w:t>
      </w:r>
      <w:r w:rsidR="00BE316A" w:rsidRPr="00574FFA">
        <w:rPr>
          <w:b/>
          <w:color w:val="auto"/>
        </w:rPr>
        <w:t xml:space="preserve"> in Parts Per Million (PPM)</w:t>
      </w:r>
    </w:p>
    <w:p w:rsidR="00821C0F" w:rsidRDefault="00DB2C50" w:rsidP="00504AED">
      <w:pPr>
        <w:jc w:val="center"/>
        <w:rPr>
          <w:noProof/>
        </w:rPr>
      </w:pPr>
      <w:r>
        <w:rPr>
          <w:noProof/>
          <w:lang w:eastAsia="en-US"/>
        </w:rPr>
        <w:drawing>
          <wp:inline distT="0" distB="0" distL="0" distR="0" wp14:anchorId="78F26604" wp14:editId="0640AAE2">
            <wp:extent cx="1838325" cy="4399915"/>
            <wp:effectExtent l="0" t="0" r="952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4399915"/>
                    </a:xfrm>
                    <a:prstGeom prst="rect">
                      <a:avLst/>
                    </a:prstGeom>
                    <a:noFill/>
                  </pic:spPr>
                </pic:pic>
              </a:graphicData>
            </a:graphic>
          </wp:inline>
        </w:drawing>
      </w:r>
    </w:p>
    <w:p w:rsidR="00DB2C50" w:rsidRPr="006315E1" w:rsidRDefault="00DB2C50" w:rsidP="00DB2C50">
      <w:pPr>
        <w:pStyle w:val="Heading1"/>
      </w:pPr>
      <w:bookmarkStart w:id="12" w:name="_Toc481869251"/>
      <w:bookmarkStart w:id="13" w:name="_Toc482256306"/>
      <w:bookmarkStart w:id="14" w:name="_Toc482256327"/>
      <w:r w:rsidRPr="006315E1">
        <w:lastRenderedPageBreak/>
        <w:t>Stability Testing</w:t>
      </w:r>
      <w:bookmarkEnd w:id="12"/>
      <w:bookmarkEnd w:id="13"/>
      <w:bookmarkEnd w:id="14"/>
    </w:p>
    <w:p w:rsidR="00DB2C50" w:rsidRPr="006315E1" w:rsidRDefault="00DB2C50" w:rsidP="00DB2C50">
      <w:r w:rsidRPr="006315E1">
        <w:t xml:space="preserve">COMAR </w:t>
      </w:r>
      <w:r w:rsidR="001C418A">
        <w:t>(</w:t>
      </w:r>
      <w:r w:rsidR="00F65309" w:rsidRPr="006315E1">
        <w:t xml:space="preserve">10.62.15.07 </w:t>
      </w:r>
      <w:r w:rsidR="00F65309">
        <w:t>and</w:t>
      </w:r>
      <w:r w:rsidR="002F0DA9">
        <w:t xml:space="preserve"> 10.62.23.05</w:t>
      </w:r>
      <w:r w:rsidR="001C418A">
        <w:t>) states</w:t>
      </w:r>
      <w:r w:rsidRPr="006315E1">
        <w:t xml:space="preserve"> that stability testing </w:t>
      </w:r>
      <w:r w:rsidR="003375D4">
        <w:t>is</w:t>
      </w:r>
      <w:r w:rsidRPr="006315E1">
        <w:t xml:space="preserve"> to be performed at 6-month and 1 year intervals.  The purpose of stability testing is to provide evidence on how the quality of a drug substance varies with time under the influence of a variety of environmental factors (ICH 2003).</w:t>
      </w:r>
    </w:p>
    <w:p w:rsidR="00DB2C50" w:rsidRPr="00DB2C50" w:rsidRDefault="00DB2C50" w:rsidP="00DB2C50">
      <w:r w:rsidRPr="00DB2C50">
        <w:t xml:space="preserve">The ITL </w:t>
      </w:r>
      <w:r w:rsidR="00BA4611">
        <w:t>must</w:t>
      </w:r>
      <w:r w:rsidRPr="00DB2C50">
        <w:t xml:space="preserve"> have policies and procedures established </w:t>
      </w:r>
      <w:r w:rsidR="00694ED7">
        <w:t xml:space="preserve">for the collection of stability and retention samples </w:t>
      </w:r>
      <w:r w:rsidRPr="00DB2C50">
        <w:t xml:space="preserve">and </w:t>
      </w:r>
      <w:r w:rsidR="00694ED7">
        <w:t>the analysis of</w:t>
      </w:r>
      <w:r w:rsidRPr="00DB2C50">
        <w:t xml:space="preserve"> stability testing samples.  The samples </w:t>
      </w:r>
      <w:r w:rsidR="00BA4611">
        <w:t>must</w:t>
      </w:r>
      <w:r w:rsidRPr="00DB2C50">
        <w:t xml:space="preserve"> be stored in a secure, climate-controlled facility, mirroring packaging and temperature conditions of a medical cannabis dispensary (25̊ Celsius (C) +/- 2̊ C and 60% Relative Humidity (RH) +/- 5% RH).</w:t>
      </w:r>
    </w:p>
    <w:p w:rsidR="00DB2C50" w:rsidRPr="006315E1" w:rsidRDefault="00DB2C50" w:rsidP="00DB2C50">
      <w:r w:rsidRPr="006315E1">
        <w:t>The stability testing required at 6 months and 1 year intervals will include:</w:t>
      </w:r>
    </w:p>
    <w:p w:rsidR="00DB2C50" w:rsidRPr="006315E1" w:rsidRDefault="00DB2C50" w:rsidP="00DB2C50">
      <w:pPr>
        <w:pStyle w:val="ListParagraph"/>
        <w:numPr>
          <w:ilvl w:val="0"/>
          <w:numId w:val="7"/>
        </w:numPr>
      </w:pPr>
      <w:r w:rsidRPr="006315E1">
        <w:t>Cannabinoid content;</w:t>
      </w:r>
    </w:p>
    <w:p w:rsidR="00DB2C50" w:rsidRPr="006315E1" w:rsidRDefault="00DB2C50" w:rsidP="00DB2C50">
      <w:pPr>
        <w:pStyle w:val="ListParagraph"/>
        <w:numPr>
          <w:ilvl w:val="0"/>
          <w:numId w:val="7"/>
        </w:numPr>
      </w:pPr>
      <w:r w:rsidRPr="006315E1">
        <w:t>Microbiological impurities; and</w:t>
      </w:r>
    </w:p>
    <w:p w:rsidR="00DB2C50" w:rsidRPr="006315E1" w:rsidRDefault="00DB2C50" w:rsidP="00DB2C50">
      <w:pPr>
        <w:pStyle w:val="ListParagraph"/>
        <w:numPr>
          <w:ilvl w:val="0"/>
          <w:numId w:val="7"/>
        </w:numPr>
      </w:pPr>
      <w:r w:rsidRPr="006315E1">
        <w:t>Water activity.</w:t>
      </w:r>
    </w:p>
    <w:p w:rsidR="00DB2C50" w:rsidRPr="006315E1" w:rsidRDefault="00DB2C50" w:rsidP="00DB2C50">
      <w:r w:rsidRPr="006315E1">
        <w:t xml:space="preserve">Findings of the stability studies will be reported </w:t>
      </w:r>
      <w:r w:rsidR="00694ED7">
        <w:t xml:space="preserve">to MMCC </w:t>
      </w:r>
      <w:r w:rsidR="003375D4">
        <w:t xml:space="preserve">through the METRC tracking system </w:t>
      </w:r>
      <w:r w:rsidRPr="006315E1">
        <w:t>to ensure medical cannabis</w:t>
      </w:r>
      <w:r>
        <w:t xml:space="preserve"> </w:t>
      </w:r>
      <w:r w:rsidRPr="006315E1">
        <w:t xml:space="preserve">purity and potency are maintained throughout the storage process without significant change.  </w:t>
      </w:r>
      <w:r w:rsidRPr="006315E1">
        <w:rPr>
          <w:i/>
          <w:iCs/>
        </w:rPr>
        <w:t xml:space="preserve">Significant change </w:t>
      </w:r>
      <w:r w:rsidRPr="006315E1">
        <w:t>for medical cannabis is defined as failure to meet the tolerances listed in this technical guidance for purity.</w:t>
      </w:r>
    </w:p>
    <w:p w:rsidR="00DB2C50" w:rsidRPr="006315E1" w:rsidRDefault="00DB2C50" w:rsidP="00DB2C50">
      <w:r w:rsidRPr="006315E1">
        <w:t xml:space="preserve">The design of the laboratory’s stability studies </w:t>
      </w:r>
      <w:r w:rsidR="00BA4611">
        <w:t>must</w:t>
      </w:r>
      <w:r w:rsidRPr="006315E1">
        <w:t xml:space="preserve"> include the following factors as standard requirements (ICH 2003):</w:t>
      </w:r>
    </w:p>
    <w:p w:rsidR="00DB2C50" w:rsidRPr="006315E1" w:rsidRDefault="00DB2C50" w:rsidP="00DB2C50">
      <w:pPr>
        <w:pStyle w:val="ListParagraph"/>
        <w:numPr>
          <w:ilvl w:val="0"/>
          <w:numId w:val="7"/>
        </w:numPr>
      </w:pPr>
      <w:r w:rsidRPr="006315E1">
        <w:t>Samples from at least 3 batches of medical cannabis stored in a secure,</w:t>
      </w:r>
      <w:r w:rsidR="003375D4">
        <w:t xml:space="preserve"> climate controlled environment</w:t>
      </w:r>
    </w:p>
    <w:p w:rsidR="00DB2C50" w:rsidRPr="006315E1" w:rsidRDefault="00DB2C50" w:rsidP="00DB2C50">
      <w:pPr>
        <w:pStyle w:val="ListParagraph"/>
        <w:numPr>
          <w:ilvl w:val="0"/>
          <w:numId w:val="7"/>
        </w:numPr>
      </w:pPr>
      <w:r w:rsidRPr="006315E1">
        <w:t xml:space="preserve">Samples </w:t>
      </w:r>
      <w:r w:rsidR="00BA4611">
        <w:t>must</w:t>
      </w:r>
      <w:r w:rsidRPr="006315E1">
        <w:t xml:space="preserve"> be stored undisturbed at the designated storage temperature fo</w:t>
      </w:r>
      <w:r w:rsidR="003375D4">
        <w:t>r the appropriate time interval</w:t>
      </w:r>
    </w:p>
    <w:p w:rsidR="00DB2C50" w:rsidRPr="006315E1" w:rsidRDefault="00DB2C50" w:rsidP="00DB2C50">
      <w:pPr>
        <w:pStyle w:val="ListParagraph"/>
        <w:numPr>
          <w:ilvl w:val="0"/>
          <w:numId w:val="7"/>
        </w:numPr>
      </w:pPr>
      <w:r w:rsidRPr="006315E1">
        <w:t xml:space="preserve">Stability samples </w:t>
      </w:r>
      <w:r w:rsidR="00BA4611">
        <w:t>must</w:t>
      </w:r>
      <w:r w:rsidRPr="006315E1">
        <w:t xml:space="preserve"> reflect a representa</w:t>
      </w:r>
      <w:r w:rsidR="003375D4">
        <w:t>tive sample of the entire batch</w:t>
      </w:r>
    </w:p>
    <w:p w:rsidR="00DB2C50" w:rsidRPr="006315E1" w:rsidRDefault="00DB2C50" w:rsidP="00DB2C50">
      <w:pPr>
        <w:pStyle w:val="ListParagraph"/>
        <w:numPr>
          <w:ilvl w:val="0"/>
          <w:numId w:val="7"/>
        </w:numPr>
      </w:pPr>
      <w:r w:rsidRPr="006315E1">
        <w:t xml:space="preserve">Potency and purity analysis </w:t>
      </w:r>
      <w:r w:rsidR="00BA4611">
        <w:t>must</w:t>
      </w:r>
      <w:r w:rsidRPr="006315E1">
        <w:t xml:space="preserve"> be performed in duplicate, and the physical condition/appearance of the contents </w:t>
      </w:r>
      <w:r w:rsidR="00BA4611">
        <w:t>must</w:t>
      </w:r>
      <w:r w:rsidR="003375D4">
        <w:t xml:space="preserve"> be observed and reported</w:t>
      </w:r>
    </w:p>
    <w:p w:rsidR="00DB2C50" w:rsidRPr="006315E1" w:rsidRDefault="00DB2C50" w:rsidP="00DB2C50">
      <w:pPr>
        <w:pStyle w:val="ListParagraph"/>
        <w:numPr>
          <w:ilvl w:val="0"/>
          <w:numId w:val="7"/>
        </w:numPr>
      </w:pPr>
      <w:r w:rsidRPr="006315E1">
        <w:t xml:space="preserve">Resulting the stability studies data </w:t>
      </w:r>
      <w:r w:rsidR="00BA4611">
        <w:t>must</w:t>
      </w:r>
      <w:r w:rsidRPr="006315E1">
        <w:t xml:space="preserve"> include:</w:t>
      </w:r>
    </w:p>
    <w:p w:rsidR="00DB2C50" w:rsidRPr="006315E1" w:rsidRDefault="00DB2C50" w:rsidP="00DB2C50">
      <w:pPr>
        <w:pStyle w:val="ListParagraph"/>
        <w:numPr>
          <w:ilvl w:val="0"/>
          <w:numId w:val="21"/>
        </w:numPr>
      </w:pPr>
      <w:r w:rsidRPr="006315E1">
        <w:t>METRC identification and batch weight</w:t>
      </w:r>
    </w:p>
    <w:p w:rsidR="00DB2C50" w:rsidRPr="006315E1" w:rsidRDefault="00DB2C50" w:rsidP="00DB2C50">
      <w:pPr>
        <w:pStyle w:val="ListParagraph"/>
        <w:numPr>
          <w:ilvl w:val="0"/>
          <w:numId w:val="21"/>
        </w:numPr>
      </w:pPr>
      <w:r w:rsidRPr="006315E1">
        <w:t>Conditions of storage (including container type)</w:t>
      </w:r>
    </w:p>
    <w:p w:rsidR="00DB2C50" w:rsidRPr="006315E1" w:rsidRDefault="00DB2C50" w:rsidP="00DB2C50">
      <w:pPr>
        <w:pStyle w:val="ListParagraph"/>
        <w:numPr>
          <w:ilvl w:val="0"/>
          <w:numId w:val="21"/>
        </w:numPr>
      </w:pPr>
      <w:r w:rsidRPr="006315E1">
        <w:t>Analy</w:t>
      </w:r>
      <w:r w:rsidR="00694ED7">
        <w:t xml:space="preserve">sis from original sampling, </w:t>
      </w:r>
      <w:r w:rsidRPr="006315E1">
        <w:t>6 month</w:t>
      </w:r>
      <w:r w:rsidR="00694ED7">
        <w:t>,</w:t>
      </w:r>
      <w:r w:rsidRPr="006315E1">
        <w:t xml:space="preserve"> and 1 year sampling</w:t>
      </w:r>
    </w:p>
    <w:p w:rsidR="00DB2C50" w:rsidRPr="006315E1" w:rsidRDefault="00DB2C50" w:rsidP="00DB2C50">
      <w:pPr>
        <w:pStyle w:val="ListParagraph"/>
        <w:numPr>
          <w:ilvl w:val="0"/>
          <w:numId w:val="21"/>
        </w:numPr>
      </w:pPr>
      <w:r w:rsidRPr="006315E1">
        <w:t>Name and type of product</w:t>
      </w:r>
    </w:p>
    <w:p w:rsidR="00DB2C50" w:rsidRPr="006315E1" w:rsidRDefault="00DB2C50" w:rsidP="00DB2C50">
      <w:pPr>
        <w:pStyle w:val="ListParagraph"/>
        <w:numPr>
          <w:ilvl w:val="0"/>
          <w:numId w:val="21"/>
        </w:numPr>
      </w:pPr>
      <w:r w:rsidRPr="006315E1">
        <w:t>Name and address of the independent testing laboratory</w:t>
      </w:r>
    </w:p>
    <w:p w:rsidR="00DB2C50" w:rsidRDefault="00DB2C50" w:rsidP="00DB2C50"/>
    <w:p w:rsidR="008E040D" w:rsidRDefault="008E040D">
      <w:r>
        <w:br w:type="page"/>
      </w:r>
    </w:p>
    <w:p w:rsidR="008E040D" w:rsidRDefault="008E040D" w:rsidP="00DB2C50"/>
    <w:p w:rsidR="008E040D" w:rsidRPr="00F171DB" w:rsidRDefault="00F171DB" w:rsidP="008E040D">
      <w:pPr>
        <w:rPr>
          <w:b/>
        </w:rPr>
      </w:pPr>
      <w:r w:rsidRPr="00F171DB">
        <w:rPr>
          <w:b/>
        </w:rPr>
        <w:t>APPENDIX A- Medical Cannabis Testing Requirements</w:t>
      </w:r>
    </w:p>
    <w:tbl>
      <w:tblPr>
        <w:tblpPr w:leftFromText="180" w:rightFromText="180" w:horzAnchor="margin" w:tblpY="930"/>
        <w:tblW w:w="9880" w:type="dxa"/>
        <w:tblCellMar>
          <w:left w:w="0" w:type="dxa"/>
          <w:right w:w="0" w:type="dxa"/>
        </w:tblCellMar>
        <w:tblLook w:val="04A0" w:firstRow="1" w:lastRow="0" w:firstColumn="1" w:lastColumn="0" w:noHBand="0" w:noVBand="1"/>
      </w:tblPr>
      <w:tblGrid>
        <w:gridCol w:w="1800"/>
        <w:gridCol w:w="1080"/>
        <w:gridCol w:w="1240"/>
        <w:gridCol w:w="1500"/>
        <w:gridCol w:w="1420"/>
        <w:gridCol w:w="1420"/>
        <w:gridCol w:w="1420"/>
      </w:tblGrid>
      <w:tr w:rsidR="00605ECB" w:rsidRPr="00605ECB" w:rsidTr="00605ECB">
        <w:trPr>
          <w:trHeight w:val="144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p w:rsidR="00605ECB" w:rsidRPr="00605ECB" w:rsidRDefault="00605ECB" w:rsidP="00605ECB">
            <w:pPr>
              <w:spacing w:after="0"/>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Usable Cannabis</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Medical Cannabis Concentrate</w:t>
            </w:r>
          </w:p>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(non-solvent)</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Medical Cannabis Concentrate</w:t>
            </w:r>
          </w:p>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(solvent based) made with CO2 Extractor</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Medical Cannabis Concentrate (solvent based)</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Medical Cannabis-Infused Product</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Dilutions of Medical Cannabis Product</w:t>
            </w:r>
          </w:p>
        </w:tc>
      </w:tr>
      <w:tr w:rsidR="00605ECB" w:rsidRPr="00605ECB" w:rsidTr="00605ECB">
        <w:trPr>
          <w:trHeight w:val="566"/>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Moisture Content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r>
      <w:tr w:rsidR="00605ECB" w:rsidRPr="00605ECB" w:rsidTr="00605ECB">
        <w:trPr>
          <w:trHeight w:val="575"/>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Potency Analysis</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r>
      <w:tr w:rsidR="00605ECB" w:rsidRPr="00605ECB" w:rsidTr="00605ECB">
        <w:trPr>
          <w:trHeight w:val="583"/>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Terpene Analysis</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r>
      <w:tr w:rsidR="00605ECB" w:rsidRPr="00605ECB" w:rsidTr="00605ECB">
        <w:trPr>
          <w:trHeight w:val="575"/>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Foreign Matter Inspection</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r>
      <w:tr w:rsidR="00605ECB" w:rsidRPr="00605ECB" w:rsidTr="00605ECB">
        <w:trPr>
          <w:trHeight w:val="566"/>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Microbial Screen</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r>
      <w:tr w:rsidR="00605ECB" w:rsidRPr="00605ECB" w:rsidTr="00605ECB">
        <w:trPr>
          <w:trHeight w:val="575"/>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Mycotoxin Screen</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r>
      <w:tr w:rsidR="00605ECB" w:rsidRPr="00605ECB" w:rsidTr="00605ECB">
        <w:trPr>
          <w:trHeight w:val="499"/>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Water Activity</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r>
      <w:tr w:rsidR="00605ECB" w:rsidRPr="00605ECB" w:rsidTr="00605ECB">
        <w:trPr>
          <w:trHeight w:val="49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Heavy Metal Screen</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r>
      <w:tr w:rsidR="00605ECB" w:rsidRPr="00605ECB" w:rsidTr="00605ECB">
        <w:trPr>
          <w:trHeight w:val="49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Residual Solvent Test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b/>
                <w:bCs/>
                <w:color w:val="404040"/>
                <w:kern w:val="24"/>
                <w:sz w:val="16"/>
                <w:szCs w:val="16"/>
                <w:lang w:eastAsia="en-US"/>
              </w:rPr>
              <w:t>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r>
      <w:tr w:rsidR="00605ECB" w:rsidRPr="00605ECB" w:rsidTr="00605ECB">
        <w:trPr>
          <w:trHeight w:val="49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Pesticide Residue Analysis</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jc w:val="center"/>
              <w:rPr>
                <w:rFonts w:ascii="Arial" w:eastAsia="Times New Roman" w:hAnsi="Arial" w:cs="Arial"/>
                <w:color w:val="auto"/>
                <w:sz w:val="36"/>
                <w:szCs w:val="36"/>
                <w:lang w:eastAsia="en-US"/>
              </w:rPr>
            </w:pPr>
            <w:r w:rsidRPr="00605ECB">
              <w:rPr>
                <w:rFonts w:ascii="Arial" w:eastAsia="Arial" w:hAnsi="Arial" w:cs="Arial"/>
                <w:b/>
                <w:bCs/>
                <w:color w:val="404040"/>
                <w:kern w:val="24"/>
                <w:sz w:val="16"/>
                <w:szCs w:val="16"/>
                <w:lang w:eastAsia="en-US"/>
              </w:rPr>
              <w:t>√</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05ECB" w:rsidRPr="00605ECB" w:rsidRDefault="00605ECB" w:rsidP="00605ECB">
            <w:pPr>
              <w:spacing w:after="0"/>
              <w:rPr>
                <w:rFonts w:ascii="Arial" w:eastAsia="Times New Roman" w:hAnsi="Arial" w:cs="Arial"/>
                <w:color w:val="auto"/>
                <w:sz w:val="36"/>
                <w:szCs w:val="36"/>
                <w:lang w:eastAsia="en-US"/>
              </w:rPr>
            </w:pPr>
            <w:r w:rsidRPr="00605ECB">
              <w:rPr>
                <w:rFonts w:ascii="Arial" w:eastAsia="Arial" w:hAnsi="Arial" w:cs="Times New Roman"/>
                <w:color w:val="404040"/>
                <w:kern w:val="24"/>
                <w:sz w:val="16"/>
                <w:szCs w:val="16"/>
                <w:lang w:eastAsia="en-US"/>
              </w:rPr>
              <w:t> </w:t>
            </w:r>
          </w:p>
        </w:tc>
      </w:tr>
    </w:tbl>
    <w:p w:rsidR="008E040D" w:rsidRDefault="008E040D" w:rsidP="008E040D"/>
    <w:p w:rsidR="008E040D" w:rsidRDefault="008E040D">
      <w:r>
        <w:br w:type="page"/>
      </w:r>
    </w:p>
    <w:p w:rsidR="001B009D" w:rsidRPr="001B009D" w:rsidRDefault="001B009D">
      <w:pPr>
        <w:rPr>
          <w:b/>
        </w:rPr>
      </w:pPr>
    </w:p>
    <w:p w:rsidR="00D4403A" w:rsidRDefault="001B009D">
      <w:pPr>
        <w:rPr>
          <w:b/>
          <w:color w:val="1F4E79" w:themeColor="accent1" w:themeShade="80"/>
          <w:sz w:val="28"/>
          <w:szCs w:val="28"/>
        </w:rPr>
      </w:pPr>
      <w:r>
        <w:rPr>
          <w:b/>
          <w:color w:val="1F4E79" w:themeColor="accent1" w:themeShade="80"/>
          <w:sz w:val="28"/>
          <w:szCs w:val="28"/>
        </w:rPr>
        <w:t>APPENDIX B-</w:t>
      </w:r>
      <w:r w:rsidRPr="001B009D">
        <w:rPr>
          <w:b/>
          <w:color w:val="1F4E79" w:themeColor="accent1" w:themeShade="80"/>
          <w:sz w:val="28"/>
          <w:szCs w:val="28"/>
        </w:rPr>
        <w:t>DEFINITIONS</w:t>
      </w:r>
    </w:p>
    <w:p w:rsidR="00CC7EDD" w:rsidRPr="00574FFA" w:rsidRDefault="001B009D" w:rsidP="00CC7EDD">
      <w:pPr>
        <w:ind w:left="720"/>
      </w:pPr>
      <w:r w:rsidRPr="001B009D">
        <w:rPr>
          <w:b/>
          <w:color w:val="000000" w:themeColor="text1"/>
        </w:rPr>
        <w:t>Batch</w:t>
      </w:r>
      <w:r>
        <w:rPr>
          <w:b/>
          <w:color w:val="000000" w:themeColor="text1"/>
        </w:rPr>
        <w:t>-</w:t>
      </w:r>
      <w:r w:rsidR="00CC7EDD">
        <w:rPr>
          <w:b/>
          <w:color w:val="000000" w:themeColor="text1"/>
        </w:rPr>
        <w:t xml:space="preserve"> </w:t>
      </w:r>
      <w:r w:rsidR="00606D22" w:rsidRPr="00606D22">
        <w:t xml:space="preserve">Means not more than 10 </w:t>
      </w:r>
      <w:proofErr w:type="gramStart"/>
      <w:r w:rsidR="00606D22" w:rsidRPr="00606D22">
        <w:t>pounds</w:t>
      </w:r>
      <w:r w:rsidR="00201EBF">
        <w:t>(</w:t>
      </w:r>
      <w:proofErr w:type="spellStart"/>
      <w:proofErr w:type="gramEnd"/>
      <w:r w:rsidR="00201EBF">
        <w:t>lbs</w:t>
      </w:r>
      <w:proofErr w:type="spellEnd"/>
      <w:r w:rsidR="00201EBF">
        <w:t>)</w:t>
      </w:r>
      <w:r w:rsidR="00606D22" w:rsidRPr="00606D22">
        <w:t xml:space="preserve"> of plants of the </w:t>
      </w:r>
      <w:r w:rsidR="00CC7EDD" w:rsidRPr="00574FFA">
        <w:t xml:space="preserve">same variety of medical cannabis that have been: </w:t>
      </w:r>
    </w:p>
    <w:p w:rsidR="00CC7EDD" w:rsidRPr="00574FFA" w:rsidRDefault="00CC7EDD" w:rsidP="00CC7EDD">
      <w:pPr>
        <w:pStyle w:val="ListParagraph"/>
        <w:numPr>
          <w:ilvl w:val="0"/>
          <w:numId w:val="26"/>
        </w:numPr>
      </w:pPr>
      <w:r w:rsidRPr="00574FFA">
        <w:t xml:space="preserve">Grown, harvested, and processed together; and </w:t>
      </w:r>
    </w:p>
    <w:p w:rsidR="00CC7EDD" w:rsidRPr="00574FFA" w:rsidRDefault="00CC7EDD" w:rsidP="00CC7EDD">
      <w:pPr>
        <w:pStyle w:val="ListParagraph"/>
        <w:numPr>
          <w:ilvl w:val="0"/>
          <w:numId w:val="26"/>
        </w:numPr>
      </w:pPr>
      <w:r w:rsidRPr="00574FFA">
        <w:t xml:space="preserve">Exposed to substantially similar conditions throughout cultivation and processing.  </w:t>
      </w:r>
    </w:p>
    <w:p w:rsidR="001B009D" w:rsidRPr="00574FFA" w:rsidRDefault="001B009D" w:rsidP="00731E71">
      <w:pPr>
        <w:ind w:left="720"/>
      </w:pPr>
      <w:r>
        <w:rPr>
          <w:b/>
          <w:color w:val="000000" w:themeColor="text1"/>
        </w:rPr>
        <w:t>Chain of Custody-</w:t>
      </w:r>
      <w:r w:rsidR="00731E71">
        <w:rPr>
          <w:b/>
          <w:color w:val="000000" w:themeColor="text1"/>
        </w:rPr>
        <w:t xml:space="preserve"> </w:t>
      </w:r>
      <w:r w:rsidR="00731E71" w:rsidRPr="00574FFA">
        <w:t>The chronological documentation showing the collection, custody, control, transfer, analysis, and disposition of a sample.</w:t>
      </w:r>
    </w:p>
    <w:p w:rsidR="001B009D" w:rsidRPr="00D4403A" w:rsidRDefault="001B009D">
      <w:pPr>
        <w:rPr>
          <w:color w:val="000000" w:themeColor="text1"/>
        </w:rPr>
      </w:pPr>
      <w:r>
        <w:rPr>
          <w:b/>
          <w:color w:val="000000" w:themeColor="text1"/>
        </w:rPr>
        <w:tab/>
        <w:t>Commission-</w:t>
      </w:r>
      <w:r w:rsidR="00D4403A">
        <w:rPr>
          <w:b/>
          <w:color w:val="000000" w:themeColor="text1"/>
        </w:rPr>
        <w:t xml:space="preserve"> </w:t>
      </w:r>
      <w:r w:rsidR="00D4403A" w:rsidRPr="00574FFA">
        <w:t xml:space="preserve">The </w:t>
      </w:r>
      <w:r w:rsidR="00CC7EDD" w:rsidRPr="00574FFA">
        <w:t xml:space="preserve">Natalie M. </w:t>
      </w:r>
      <w:proofErr w:type="spellStart"/>
      <w:r w:rsidR="00CC7EDD" w:rsidRPr="00574FFA">
        <w:t>LaPrade</w:t>
      </w:r>
      <w:proofErr w:type="spellEnd"/>
      <w:r w:rsidR="00CC7EDD" w:rsidRPr="00574FFA">
        <w:t xml:space="preserve"> </w:t>
      </w:r>
      <w:r w:rsidR="00D4403A" w:rsidRPr="00574FFA">
        <w:t>Medical Cannabis Commission.</w:t>
      </w:r>
    </w:p>
    <w:p w:rsidR="00D4403A" w:rsidRPr="00574FFA" w:rsidRDefault="00D4403A" w:rsidP="00731E71">
      <w:pPr>
        <w:ind w:left="720"/>
      </w:pPr>
      <w:r>
        <w:rPr>
          <w:b/>
          <w:color w:val="000000" w:themeColor="text1"/>
        </w:rPr>
        <w:t xml:space="preserve">CFU/g- </w:t>
      </w:r>
      <w:r w:rsidRPr="00574FFA">
        <w:t>Colony forming units per gram.  Refers to a measure of the amount of living bacteria per given amount (1 gram) of a sample.</w:t>
      </w:r>
    </w:p>
    <w:p w:rsidR="00CC7EDD" w:rsidRPr="00574FFA" w:rsidRDefault="001B009D" w:rsidP="00CC7EDD">
      <w:pPr>
        <w:ind w:left="720"/>
      </w:pPr>
      <w:r>
        <w:rPr>
          <w:b/>
          <w:color w:val="000000" w:themeColor="text1"/>
        </w:rPr>
        <w:t>Independent Testing Laboratory-</w:t>
      </w:r>
      <w:r w:rsidR="00CC7EDD">
        <w:rPr>
          <w:b/>
          <w:color w:val="000000" w:themeColor="text1"/>
        </w:rPr>
        <w:t xml:space="preserve"> </w:t>
      </w:r>
      <w:r w:rsidR="00CC7EDD" w:rsidRPr="00574FFA">
        <w:t>A facility, entity, or site that offers or performs tests of medical cannabis and products containing medical cannabis</w:t>
      </w:r>
      <w:r w:rsidR="00201EBF">
        <w:t xml:space="preserve"> that is</w:t>
      </w:r>
      <w:r w:rsidR="00CC7EDD" w:rsidRPr="00574FFA">
        <w:t xml:space="preserve">: </w:t>
      </w:r>
    </w:p>
    <w:p w:rsidR="00CC7EDD" w:rsidRPr="00574FFA" w:rsidRDefault="00CC7EDD" w:rsidP="00CC7EDD">
      <w:pPr>
        <w:ind w:left="720"/>
      </w:pPr>
      <w:r w:rsidRPr="00574FFA">
        <w:t>(a) Accredited as operating to ISO standard 17025 by an accreditation body</w:t>
      </w:r>
      <w:r w:rsidR="00201EBF">
        <w:t xml:space="preserve"> that is</w:t>
      </w:r>
      <w:r w:rsidRPr="00574FFA">
        <w:t>:</w:t>
      </w:r>
    </w:p>
    <w:p w:rsidR="00CC7EDD" w:rsidRPr="00574FFA" w:rsidRDefault="00CC7EDD" w:rsidP="00CC7EDD">
      <w:pPr>
        <w:ind w:left="720" w:firstLine="720"/>
      </w:pPr>
      <w:r w:rsidRPr="00574FFA">
        <w:t>(</w:t>
      </w:r>
      <w:proofErr w:type="spellStart"/>
      <w:r w:rsidRPr="00574FFA">
        <w:t>i</w:t>
      </w:r>
      <w:proofErr w:type="spellEnd"/>
      <w:r w:rsidRPr="00574FFA">
        <w:t>) Operating in accordance with the International Organization for Standardization (ISO) standard ISO/IEC 17011; and</w:t>
      </w:r>
    </w:p>
    <w:p w:rsidR="00CC7EDD" w:rsidRPr="00574FFA" w:rsidRDefault="00CC7EDD" w:rsidP="00CC7EDD">
      <w:pPr>
        <w:ind w:left="720" w:firstLine="720"/>
      </w:pPr>
      <w:r w:rsidRPr="00574FFA">
        <w:t xml:space="preserve">(ii) </w:t>
      </w:r>
      <w:r w:rsidR="00201EBF">
        <w:t>A</w:t>
      </w:r>
      <w:r w:rsidRPr="00574FFA">
        <w:t xml:space="preserve"> signatory to the International Laboratory Accreditation Cooperation (ILAC) Mutual Recognition Arrangement (MRA); </w:t>
      </w:r>
    </w:p>
    <w:p w:rsidR="001B009D" w:rsidRPr="00574FFA" w:rsidRDefault="00201EBF" w:rsidP="00201EBF">
      <w:pPr>
        <w:ind w:firstLine="720"/>
      </w:pPr>
      <w:r>
        <w:t>(b) I</w:t>
      </w:r>
      <w:r w:rsidR="00CC7EDD" w:rsidRPr="00574FFA">
        <w:t>ndependent from all other persons involved in the Maryland cannabis industry; and</w:t>
      </w:r>
    </w:p>
    <w:p w:rsidR="00CC7EDD" w:rsidRPr="00574FFA" w:rsidRDefault="00CC7EDD" w:rsidP="00CC7EDD">
      <w:r w:rsidRPr="00574FFA">
        <w:tab/>
      </w:r>
      <w:r w:rsidR="00201EBF">
        <w:t>(c</w:t>
      </w:r>
      <w:r w:rsidRPr="00574FFA">
        <w:t>) Registered with the Commission.</w:t>
      </w:r>
    </w:p>
    <w:p w:rsidR="00D4403A" w:rsidRPr="00574FFA" w:rsidRDefault="00D4403A" w:rsidP="00D4403A">
      <w:pPr>
        <w:ind w:left="720"/>
      </w:pPr>
      <w:r>
        <w:rPr>
          <w:b/>
          <w:color w:val="000000" w:themeColor="text1"/>
        </w:rPr>
        <w:t>Limit of Quantification (LOQ</w:t>
      </w:r>
      <w:proofErr w:type="gramStart"/>
      <w:r>
        <w:rPr>
          <w:b/>
          <w:color w:val="000000" w:themeColor="text1"/>
        </w:rPr>
        <w:t>)-</w:t>
      </w:r>
      <w:proofErr w:type="gramEnd"/>
      <w:r>
        <w:rPr>
          <w:b/>
          <w:color w:val="000000" w:themeColor="text1"/>
        </w:rPr>
        <w:t xml:space="preserve"> </w:t>
      </w:r>
      <w:r w:rsidRPr="00574FFA">
        <w:t xml:space="preserve">The lowest concentration at which the </w:t>
      </w:r>
      <w:proofErr w:type="spellStart"/>
      <w:r w:rsidRPr="00574FFA">
        <w:t>analyte</w:t>
      </w:r>
      <w:proofErr w:type="spellEnd"/>
      <w:r w:rsidRPr="00574FFA">
        <w:t xml:space="preserve"> can not only be reliably detected but at which some predefined goals for bias and imprecision are met.</w:t>
      </w:r>
    </w:p>
    <w:p w:rsidR="00AE22D8" w:rsidRPr="00F171DB" w:rsidRDefault="00AE22D8" w:rsidP="00D4403A">
      <w:pPr>
        <w:ind w:left="720"/>
      </w:pPr>
      <w:r>
        <w:rPr>
          <w:b/>
          <w:color w:val="000000" w:themeColor="text1"/>
        </w:rPr>
        <w:t>Lot-</w:t>
      </w:r>
      <w:r>
        <w:rPr>
          <w:color w:val="000000" w:themeColor="text1"/>
        </w:rPr>
        <w:t xml:space="preserve"> </w:t>
      </w:r>
      <w:r w:rsidR="00201EBF" w:rsidRPr="00F171DB">
        <w:t>medical cannabis finished product that is uniform, and that is manufactured, packaged, or labeled together during a specified time period according to a single lot record.</w:t>
      </w:r>
    </w:p>
    <w:p w:rsidR="00731E71" w:rsidRPr="00731E71" w:rsidRDefault="00731E71" w:rsidP="00D4403A">
      <w:pPr>
        <w:ind w:left="720"/>
        <w:rPr>
          <w:b/>
          <w:color w:val="000000" w:themeColor="text1"/>
        </w:rPr>
      </w:pPr>
      <w:r>
        <w:rPr>
          <w:b/>
          <w:color w:val="000000" w:themeColor="text1"/>
        </w:rPr>
        <w:t>METRC-</w:t>
      </w:r>
      <w:r>
        <w:rPr>
          <w:color w:val="000000" w:themeColor="text1"/>
        </w:rPr>
        <w:t xml:space="preserve"> </w:t>
      </w:r>
      <w:proofErr w:type="spellStart"/>
      <w:r w:rsidR="00176C42" w:rsidRPr="00574FFA">
        <w:t>Franwell</w:t>
      </w:r>
      <w:proofErr w:type="spellEnd"/>
      <w:r w:rsidR="00176C42" w:rsidRPr="00574FFA">
        <w:t xml:space="preserve"> Marijuana Enforcement Tracking Regulation and Compliance system</w:t>
      </w:r>
      <w:r w:rsidR="00574FFA">
        <w:t>.</w:t>
      </w:r>
      <w:r w:rsidR="00973875" w:rsidRPr="00574FFA">
        <w:rPr>
          <w:rFonts w:ascii="Arial" w:hAnsi="Arial" w:cs="Arial"/>
          <w:sz w:val="21"/>
          <w:szCs w:val="21"/>
        </w:rPr>
        <w:t xml:space="preserve"> </w:t>
      </w:r>
    </w:p>
    <w:p w:rsidR="001B009D" w:rsidRDefault="001B009D">
      <w:pPr>
        <w:rPr>
          <w:color w:val="000000" w:themeColor="text1"/>
        </w:rPr>
      </w:pPr>
      <w:r>
        <w:rPr>
          <w:b/>
          <w:color w:val="000000" w:themeColor="text1"/>
        </w:rPr>
        <w:tab/>
        <w:t>Medical Cannabis-</w:t>
      </w:r>
      <w:r w:rsidR="00AE22D8">
        <w:rPr>
          <w:b/>
          <w:color w:val="000000" w:themeColor="text1"/>
        </w:rPr>
        <w:t xml:space="preserve"> </w:t>
      </w:r>
      <w:r w:rsidR="00AE22D8" w:rsidRPr="00574FFA">
        <w:t>Any product containing usable cannabis or medical cannabis finished product.</w:t>
      </w:r>
    </w:p>
    <w:p w:rsidR="00AE22D8" w:rsidRPr="00574FFA" w:rsidRDefault="00AE22D8" w:rsidP="00201EBF">
      <w:pPr>
        <w:ind w:left="720"/>
      </w:pPr>
      <w:r w:rsidRPr="00AE22D8">
        <w:rPr>
          <w:b/>
          <w:color w:val="000000" w:themeColor="text1"/>
        </w:rPr>
        <w:t>Medical Cannabis Concentrate</w:t>
      </w:r>
      <w:r w:rsidRPr="00AE22D8">
        <w:rPr>
          <w:color w:val="000000" w:themeColor="text1"/>
        </w:rPr>
        <w:t xml:space="preserve">- </w:t>
      </w:r>
      <w:r w:rsidRPr="00574FFA">
        <w:t xml:space="preserve">A product derived from medical cannabis that is </w:t>
      </w:r>
      <w:proofErr w:type="spellStart"/>
      <w:r w:rsidRPr="00574FFA">
        <w:t>kief</w:t>
      </w:r>
      <w:proofErr w:type="spellEnd"/>
      <w:r w:rsidRPr="00574FFA">
        <w:t xml:space="preserve">, hashish, bubble hash, oil, wax, or other product, </w:t>
      </w:r>
      <w:r w:rsidR="00201EBF">
        <w:t>derived from cannabis or that includes</w:t>
      </w:r>
      <w:r w:rsidRPr="00574FFA">
        <w:t xml:space="preserve"> cannabinoids</w:t>
      </w:r>
      <w:r w:rsidR="00201EBF">
        <w:t xml:space="preserve"> extracted</w:t>
      </w:r>
      <w:r w:rsidRPr="00574FFA">
        <w:t xml:space="preserve"> from the plant </w:t>
      </w:r>
      <w:r w:rsidR="00201EBF">
        <w:t>by any means.</w:t>
      </w:r>
    </w:p>
    <w:p w:rsidR="00AE22D8" w:rsidRDefault="00AE22D8" w:rsidP="00AE22D8">
      <w:pPr>
        <w:ind w:left="720"/>
        <w:rPr>
          <w:b/>
          <w:color w:val="000000" w:themeColor="text1"/>
        </w:rPr>
      </w:pPr>
      <w:r>
        <w:rPr>
          <w:b/>
          <w:color w:val="000000" w:themeColor="text1"/>
        </w:rPr>
        <w:t xml:space="preserve">Medical Cannabis-Infused Product- </w:t>
      </w:r>
    </w:p>
    <w:p w:rsidR="00AE22D8" w:rsidRPr="00574FFA" w:rsidRDefault="00AE22D8" w:rsidP="00AE22D8">
      <w:pPr>
        <w:pStyle w:val="ListParagraph"/>
        <w:numPr>
          <w:ilvl w:val="0"/>
          <w:numId w:val="28"/>
        </w:numPr>
      </w:pPr>
      <w:r w:rsidRPr="00574FFA">
        <w:t>Any oil, wax, ointment, salve, tincture, capsule, suppository, dermal patch, cartridge or other product containing medical cannabis concentrate or usable cannabis.</w:t>
      </w:r>
    </w:p>
    <w:p w:rsidR="00AE22D8" w:rsidRPr="00574FFA" w:rsidRDefault="00AE22D8" w:rsidP="00AE22D8">
      <w:pPr>
        <w:pStyle w:val="ListParagraph"/>
        <w:numPr>
          <w:ilvl w:val="0"/>
          <w:numId w:val="28"/>
        </w:numPr>
      </w:pPr>
      <w:r w:rsidRPr="00574FFA">
        <w:t>Does not include a food.</w:t>
      </w:r>
    </w:p>
    <w:p w:rsidR="001B009D" w:rsidRPr="00574FFA" w:rsidRDefault="00D4403A" w:rsidP="00731E71">
      <w:pPr>
        <w:ind w:left="720"/>
      </w:pPr>
      <w:r>
        <w:rPr>
          <w:b/>
          <w:color w:val="000000" w:themeColor="text1"/>
        </w:rPr>
        <w:t>Representative Sample-</w:t>
      </w:r>
      <w:r w:rsidR="00731E71">
        <w:rPr>
          <w:b/>
          <w:color w:val="000000" w:themeColor="text1"/>
        </w:rPr>
        <w:t xml:space="preserve"> </w:t>
      </w:r>
      <w:r w:rsidR="00731E71" w:rsidRPr="00574FFA">
        <w:t xml:space="preserve">A sample obtained according to a sampling procedure designed to ensure that the different parts of a batch or lot or the different properties of a batch or lot are proportionally represented.  </w:t>
      </w:r>
    </w:p>
    <w:p w:rsidR="00D4403A" w:rsidRPr="00574FFA" w:rsidRDefault="00D4403A" w:rsidP="00CC7EDD">
      <w:pPr>
        <w:ind w:left="720"/>
      </w:pPr>
      <w:r>
        <w:rPr>
          <w:b/>
          <w:color w:val="000000" w:themeColor="text1"/>
        </w:rPr>
        <w:lastRenderedPageBreak/>
        <w:t xml:space="preserve">Sample- </w:t>
      </w:r>
      <w:r w:rsidRPr="00574FFA">
        <w:t>An amount of medical cannabis collected by laboratory personnel from a licensee and provided to an independent testing laboratory for testing.</w:t>
      </w:r>
    </w:p>
    <w:p w:rsidR="00D4403A" w:rsidRPr="00574FFA" w:rsidRDefault="00D4403A" w:rsidP="00D4403A">
      <w:pPr>
        <w:ind w:left="720"/>
      </w:pPr>
      <w:r>
        <w:rPr>
          <w:b/>
          <w:color w:val="000000" w:themeColor="text1"/>
        </w:rPr>
        <w:t xml:space="preserve">Solvent- </w:t>
      </w:r>
      <w:r w:rsidRPr="00574FFA">
        <w:t>A substance that can dissolve another substance, or in which another substance is dissolved, forming a solution.</w:t>
      </w:r>
    </w:p>
    <w:p w:rsidR="00D4403A" w:rsidRPr="00D4403A" w:rsidRDefault="00D4403A" w:rsidP="00D4403A">
      <w:pPr>
        <w:ind w:left="720"/>
        <w:rPr>
          <w:color w:val="000000" w:themeColor="text1"/>
        </w:rPr>
      </w:pPr>
      <w:r>
        <w:rPr>
          <w:b/>
          <w:color w:val="000000" w:themeColor="text1"/>
        </w:rPr>
        <w:t xml:space="preserve">Target </w:t>
      </w:r>
      <w:proofErr w:type="spellStart"/>
      <w:r>
        <w:rPr>
          <w:b/>
          <w:color w:val="000000" w:themeColor="text1"/>
        </w:rPr>
        <w:t>Analyte</w:t>
      </w:r>
      <w:proofErr w:type="spellEnd"/>
      <w:r>
        <w:rPr>
          <w:b/>
          <w:color w:val="000000" w:themeColor="text1"/>
        </w:rPr>
        <w:t>-</w:t>
      </w:r>
      <w:r>
        <w:rPr>
          <w:color w:val="000000" w:themeColor="text1"/>
        </w:rPr>
        <w:t xml:space="preserve"> </w:t>
      </w:r>
      <w:r w:rsidRPr="00574FFA">
        <w:t>A chemical the lab must test for to see if it is present in medical cannabis.</w:t>
      </w:r>
    </w:p>
    <w:p w:rsidR="00D4403A" w:rsidRDefault="00D4403A">
      <w:pPr>
        <w:rPr>
          <w:color w:val="000000" w:themeColor="text1"/>
        </w:rPr>
      </w:pPr>
      <w:r>
        <w:rPr>
          <w:b/>
          <w:color w:val="000000" w:themeColor="text1"/>
        </w:rPr>
        <w:tab/>
        <w:t>Usable Cannabis-</w:t>
      </w:r>
      <w:r w:rsidR="00AE22D8">
        <w:rPr>
          <w:b/>
          <w:color w:val="000000" w:themeColor="text1"/>
        </w:rPr>
        <w:t xml:space="preserve"> </w:t>
      </w:r>
    </w:p>
    <w:p w:rsidR="00AE22D8" w:rsidRPr="00574FFA" w:rsidRDefault="00AE22D8" w:rsidP="00AE22D8">
      <w:pPr>
        <w:pStyle w:val="ListParagraph"/>
        <w:numPr>
          <w:ilvl w:val="0"/>
          <w:numId w:val="29"/>
        </w:numPr>
      </w:pPr>
      <w:r w:rsidRPr="00574FFA">
        <w:t>The dried leaves and flowers of the cannabis plant.</w:t>
      </w:r>
    </w:p>
    <w:p w:rsidR="00AE22D8" w:rsidRPr="00574FFA" w:rsidRDefault="00AE22D8" w:rsidP="00AE22D8">
      <w:pPr>
        <w:pStyle w:val="ListParagraph"/>
        <w:numPr>
          <w:ilvl w:val="0"/>
          <w:numId w:val="29"/>
        </w:numPr>
      </w:pPr>
      <w:r w:rsidRPr="00574FFA">
        <w:t xml:space="preserve">Does not include seedlings, seeds, stems, stalks </w:t>
      </w:r>
      <w:r w:rsidRPr="00F171DB">
        <w:rPr>
          <w:color w:val="auto"/>
        </w:rPr>
        <w:t xml:space="preserve">or roots </w:t>
      </w:r>
      <w:r w:rsidRPr="00574FFA">
        <w:t>of the plant.</w:t>
      </w:r>
    </w:p>
    <w:p w:rsidR="00D4403A" w:rsidRPr="00574FFA" w:rsidRDefault="00D4403A" w:rsidP="00D4403A">
      <w:pPr>
        <w:ind w:left="720"/>
      </w:pPr>
      <w:r>
        <w:rPr>
          <w:b/>
          <w:color w:val="000000" w:themeColor="text1"/>
        </w:rPr>
        <w:t xml:space="preserve">Water Activity- </w:t>
      </w:r>
      <w:r w:rsidRPr="00574FFA">
        <w:t>The partial vapor pressure of water in a substance divided by the standard state partial vapor pressure of water.</w:t>
      </w:r>
    </w:p>
    <w:p w:rsidR="00D4403A" w:rsidRDefault="00D4403A">
      <w:pPr>
        <w:rPr>
          <w:b/>
          <w:color w:val="000000" w:themeColor="text1"/>
        </w:rPr>
      </w:pPr>
      <w:r>
        <w:rPr>
          <w:b/>
          <w:color w:val="000000" w:themeColor="text1"/>
        </w:rPr>
        <w:tab/>
      </w:r>
    </w:p>
    <w:p w:rsidR="001B009D" w:rsidRPr="001B009D" w:rsidRDefault="001B009D">
      <w:pPr>
        <w:rPr>
          <w:b/>
          <w:color w:val="000000" w:themeColor="text1"/>
        </w:rPr>
      </w:pPr>
      <w:r>
        <w:rPr>
          <w:b/>
          <w:color w:val="000000" w:themeColor="text1"/>
        </w:rPr>
        <w:tab/>
      </w:r>
    </w:p>
    <w:p w:rsidR="001B009D" w:rsidRPr="001B009D" w:rsidRDefault="001B009D">
      <w:pPr>
        <w:rPr>
          <w:b/>
          <w:color w:val="1F4E79" w:themeColor="accent1" w:themeShade="80"/>
          <w:sz w:val="28"/>
          <w:szCs w:val="28"/>
        </w:rPr>
      </w:pPr>
    </w:p>
    <w:p w:rsidR="00895AD0" w:rsidRDefault="00895AD0" w:rsidP="00DB2C50"/>
    <w:p w:rsidR="001B009D" w:rsidRDefault="001B009D" w:rsidP="00DB2C50"/>
    <w:p w:rsidR="001B009D" w:rsidRDefault="001B009D" w:rsidP="00DB2C50"/>
    <w:p w:rsidR="001B009D" w:rsidRDefault="001B009D" w:rsidP="00DB2C50"/>
    <w:p w:rsidR="001B009D" w:rsidRDefault="001B009D" w:rsidP="00DB2C50"/>
    <w:p w:rsidR="001B009D" w:rsidRDefault="001B009D" w:rsidP="00DB2C50">
      <w:pPr>
        <w:sectPr w:rsidR="001B009D" w:rsidSect="00DB2C50">
          <w:headerReference w:type="default" r:id="rId14"/>
          <w:footerReference w:type="default" r:id="rId15"/>
          <w:pgSz w:w="12240" w:h="15840" w:code="1"/>
          <w:pgMar w:top="1440" w:right="1440" w:bottom="1440" w:left="1440" w:header="720" w:footer="864" w:gutter="0"/>
          <w:pgNumType w:start="1"/>
          <w:cols w:space="720"/>
          <w:docGrid w:linePitch="360"/>
        </w:sectPr>
      </w:pPr>
    </w:p>
    <w:p w:rsidR="00DB2C50" w:rsidRDefault="00DB2C50" w:rsidP="00895AD0">
      <w:pPr>
        <w:pStyle w:val="Heading1"/>
      </w:pPr>
      <w:bookmarkStart w:id="15" w:name="_Toc482256307"/>
      <w:bookmarkStart w:id="16" w:name="_Toc482256328"/>
      <w:r>
        <w:lastRenderedPageBreak/>
        <w:t>References</w:t>
      </w:r>
      <w:bookmarkEnd w:id="15"/>
      <w:bookmarkEnd w:id="16"/>
    </w:p>
    <w:p w:rsidR="00DB2C50" w:rsidRPr="00EB021D" w:rsidRDefault="00DB2C50" w:rsidP="00EB021D">
      <w:pPr>
        <w:pStyle w:val="References"/>
      </w:pPr>
      <w:r w:rsidRPr="00EB021D">
        <w:t>Freeman K, McHenry M, Cats-</w:t>
      </w:r>
      <w:proofErr w:type="spellStart"/>
      <w:r w:rsidRPr="00EB021D">
        <w:t>Baril</w:t>
      </w:r>
      <w:proofErr w:type="spellEnd"/>
      <w:r w:rsidRPr="00EB021D">
        <w:t xml:space="preserve"> W, Grace T.  Cannabis Testing for Public Safety-Best Practices for Vermont Analytical Laboratories.  </w:t>
      </w:r>
      <w:proofErr w:type="spellStart"/>
      <w:r w:rsidRPr="00EB021D">
        <w:t>PhytoScience</w:t>
      </w:r>
      <w:proofErr w:type="spellEnd"/>
      <w:r w:rsidRPr="00EB021D">
        <w:t xml:space="preserve"> Institute, 2016 January.  </w:t>
      </w:r>
    </w:p>
    <w:p w:rsidR="00DB2C50" w:rsidRPr="00EB021D" w:rsidRDefault="00DB2C50" w:rsidP="00EB021D">
      <w:pPr>
        <w:pStyle w:val="References"/>
      </w:pPr>
      <w:r w:rsidRPr="00EB021D">
        <w:t xml:space="preserve">Upton R, </w:t>
      </w:r>
      <w:proofErr w:type="spellStart"/>
      <w:r w:rsidRPr="00EB021D">
        <w:t>Craker</w:t>
      </w:r>
      <w:proofErr w:type="spellEnd"/>
      <w:r w:rsidRPr="00EB021D">
        <w:t xml:space="preserve"> L, </w:t>
      </w:r>
      <w:proofErr w:type="spellStart"/>
      <w:r w:rsidRPr="00EB021D">
        <w:t>ElSohly</w:t>
      </w:r>
      <w:proofErr w:type="spellEnd"/>
      <w:r w:rsidRPr="00EB021D">
        <w:t xml:space="preserve"> M, </w:t>
      </w:r>
      <w:proofErr w:type="spellStart"/>
      <w:r w:rsidRPr="00EB021D">
        <w:t>Romm</w:t>
      </w:r>
      <w:proofErr w:type="spellEnd"/>
      <w:r w:rsidRPr="00EB021D">
        <w:t xml:space="preserve"> A, Russo E, Sexton M.  Cannabis Inflorescence: Standards of Identity, Analysis, and Quality Control.  American Herbal Pharmacopoeia. Revision 2014.  </w:t>
      </w:r>
    </w:p>
    <w:p w:rsidR="00DB2C50" w:rsidRPr="00EB021D" w:rsidRDefault="00DB2C50" w:rsidP="00EB021D">
      <w:pPr>
        <w:pStyle w:val="References"/>
      </w:pPr>
      <w:proofErr w:type="spellStart"/>
      <w:r w:rsidRPr="00EB021D">
        <w:t>Thiex</w:t>
      </w:r>
      <w:proofErr w:type="spellEnd"/>
      <w:r w:rsidRPr="00EB021D">
        <w:t xml:space="preserve"> N, Ramsey C, </w:t>
      </w:r>
      <w:proofErr w:type="spellStart"/>
      <w:r w:rsidRPr="00EB021D">
        <w:t>Bhikha</w:t>
      </w:r>
      <w:proofErr w:type="spellEnd"/>
      <w:r w:rsidRPr="00EB021D">
        <w:t xml:space="preserve"> R, Cook J, Crawford A, Danielson D, Graves Q, </w:t>
      </w:r>
      <w:proofErr w:type="spellStart"/>
      <w:r w:rsidRPr="00EB021D">
        <w:t>Hirt</w:t>
      </w:r>
      <w:proofErr w:type="spellEnd"/>
      <w:r w:rsidRPr="00EB021D">
        <w:t xml:space="preserve"> W, Hoffman G, </w:t>
      </w:r>
      <w:proofErr w:type="spellStart"/>
      <w:r w:rsidRPr="00EB021D">
        <w:t>Andujar</w:t>
      </w:r>
      <w:proofErr w:type="spellEnd"/>
      <w:r w:rsidRPr="00EB021D">
        <w:t xml:space="preserve"> L, McLaughlin M, McManus K, McMullen S, </w:t>
      </w:r>
      <w:proofErr w:type="spellStart"/>
      <w:r w:rsidRPr="00EB021D">
        <w:t>Montalbano</w:t>
      </w:r>
      <w:proofErr w:type="spellEnd"/>
      <w:r w:rsidRPr="00EB021D">
        <w:t xml:space="preserve"> A, Novotny L, </w:t>
      </w:r>
      <w:proofErr w:type="spellStart"/>
      <w:r w:rsidRPr="00EB021D">
        <w:t>Salfinger</w:t>
      </w:r>
      <w:proofErr w:type="spellEnd"/>
      <w:r w:rsidRPr="00EB021D">
        <w:t xml:space="preserve"> Y, Schroder B, Scott T, Stephens R.  Guidance on obtaining defensible samples.  </w:t>
      </w:r>
      <w:proofErr w:type="spellStart"/>
      <w:r w:rsidRPr="00EB021D">
        <w:t>GOODSamples</w:t>
      </w:r>
      <w:proofErr w:type="spellEnd"/>
      <w:r w:rsidRPr="00EB021D">
        <w:t xml:space="preserve">: Sampling and Sample Handling Working Group.  2015 October.  </w:t>
      </w:r>
    </w:p>
    <w:p w:rsidR="00DB2C50" w:rsidRPr="00EB021D" w:rsidRDefault="00DB2C50" w:rsidP="00EB021D">
      <w:pPr>
        <w:pStyle w:val="References"/>
      </w:pPr>
      <w:r w:rsidRPr="00EB021D">
        <w:t xml:space="preserve">Farrer DG.  Technical Report:  Oregon Health Authority’s process to decide which types of contaminants to test for in cannabis. Oregon Health Authority. 2015 December. </w:t>
      </w:r>
    </w:p>
    <w:p w:rsidR="00DB2C50" w:rsidRPr="00EB021D" w:rsidRDefault="00DB2C50" w:rsidP="00EB021D">
      <w:pPr>
        <w:pStyle w:val="References"/>
      </w:pPr>
      <w:proofErr w:type="spellStart"/>
      <w:r w:rsidRPr="00EB021D">
        <w:t>Osterbauer</w:t>
      </w:r>
      <w:proofErr w:type="spellEnd"/>
      <w:r w:rsidRPr="00EB021D">
        <w:t xml:space="preserve"> N, </w:t>
      </w:r>
      <w:proofErr w:type="spellStart"/>
      <w:r w:rsidRPr="00EB021D">
        <w:t>Krepps</w:t>
      </w:r>
      <w:proofErr w:type="spellEnd"/>
      <w:r w:rsidRPr="00EB021D">
        <w:t xml:space="preserve"> S, </w:t>
      </w:r>
      <w:proofErr w:type="spellStart"/>
      <w:r w:rsidRPr="00EB021D">
        <w:t>Sackett</w:t>
      </w:r>
      <w:proofErr w:type="spellEnd"/>
      <w:r w:rsidRPr="00EB021D">
        <w:t xml:space="preserve"> J, Holladay C, Wendt E, Wells D, Price S, Kristof J.  Protocol for Collecting Samples of Usable Marijuana.  ORELAP-SOP-001 Rev.3.0.  2016 December.  </w:t>
      </w:r>
    </w:p>
    <w:p w:rsidR="00DB2C50" w:rsidRPr="00EB021D" w:rsidRDefault="00DB2C50" w:rsidP="00EB021D">
      <w:pPr>
        <w:pStyle w:val="References"/>
      </w:pPr>
      <w:r w:rsidRPr="00EB021D">
        <w:t xml:space="preserve">Sexton M, </w:t>
      </w:r>
      <w:proofErr w:type="spellStart"/>
      <w:r w:rsidRPr="00EB021D">
        <w:t>Ziskind</w:t>
      </w:r>
      <w:proofErr w:type="spellEnd"/>
      <w:r w:rsidRPr="00EB021D">
        <w:t xml:space="preserve"> J.  Sampling Cannabis for Analytical Purposes. BOTEC Analysis Corp.  2013 November.</w:t>
      </w:r>
    </w:p>
    <w:p w:rsidR="00DB2C50" w:rsidRPr="00EB021D" w:rsidRDefault="00DB2C50" w:rsidP="00EB021D">
      <w:pPr>
        <w:pStyle w:val="References"/>
      </w:pPr>
      <w:proofErr w:type="spellStart"/>
      <w:r w:rsidRPr="00EB021D">
        <w:t>Voelker</w:t>
      </w:r>
      <w:proofErr w:type="spellEnd"/>
      <w:r w:rsidRPr="00EB021D">
        <w:t xml:space="preserve"> R, Holmes M.  Pesticide use on cannabis.  Cannabis Safety Institute, 2015 June.  </w:t>
      </w:r>
    </w:p>
    <w:p w:rsidR="00DB2C50" w:rsidRPr="00EB021D" w:rsidRDefault="00DB2C50" w:rsidP="00EB021D">
      <w:pPr>
        <w:pStyle w:val="References"/>
      </w:pPr>
      <w:r w:rsidRPr="00EB021D">
        <w:t xml:space="preserve">Holmes M, Vyas J, Steinbach W, McPartland J.  Microbiological Safety Testing of Cannabis.  Cannabis Safety Institute, 2015 May.  </w:t>
      </w:r>
    </w:p>
    <w:p w:rsidR="00DB2C50" w:rsidRPr="00EB021D" w:rsidRDefault="00DB2C50" w:rsidP="00EB021D">
      <w:pPr>
        <w:pStyle w:val="References"/>
      </w:pPr>
      <w:r w:rsidRPr="00EB021D">
        <w:t xml:space="preserve">International Council for </w:t>
      </w:r>
      <w:proofErr w:type="spellStart"/>
      <w:r w:rsidRPr="00EB021D">
        <w:t>Harmonisation</w:t>
      </w:r>
      <w:proofErr w:type="spellEnd"/>
      <w:r w:rsidRPr="00EB021D">
        <w:t xml:space="preserve">.  Guideline Q3C (R5) on Impurities: Guidelines for residual solvents. 2015 September.  </w:t>
      </w:r>
    </w:p>
    <w:p w:rsidR="00DB2C50" w:rsidRPr="00EB021D" w:rsidRDefault="00DB2C50" w:rsidP="00EB021D">
      <w:pPr>
        <w:pStyle w:val="References"/>
      </w:pPr>
      <w:r w:rsidRPr="00EB021D">
        <w:t xml:space="preserve">International Council for </w:t>
      </w:r>
      <w:proofErr w:type="spellStart"/>
      <w:r w:rsidRPr="00EB021D">
        <w:t>Harmonisation</w:t>
      </w:r>
      <w:proofErr w:type="spellEnd"/>
      <w:r w:rsidRPr="00EB021D">
        <w:t>.  Guideline Q3D Elemental Impurities: Guidance for Industry. 2015 September.</w:t>
      </w:r>
    </w:p>
    <w:p w:rsidR="00DB2C50" w:rsidRPr="00EB021D" w:rsidRDefault="00DB2C50" w:rsidP="00EB021D">
      <w:pPr>
        <w:pStyle w:val="References"/>
      </w:pPr>
      <w:r w:rsidRPr="00EB021D">
        <w:t xml:space="preserve">Unger P, </w:t>
      </w:r>
      <w:proofErr w:type="spellStart"/>
      <w:r w:rsidRPr="00EB021D">
        <w:t>Brauinger</w:t>
      </w:r>
      <w:proofErr w:type="spellEnd"/>
      <w:r w:rsidRPr="00EB021D">
        <w:t xml:space="preserve"> R, </w:t>
      </w:r>
      <w:proofErr w:type="spellStart"/>
      <w:r w:rsidRPr="00EB021D">
        <w:t>Hudalla</w:t>
      </w:r>
      <w:proofErr w:type="spellEnd"/>
      <w:r w:rsidRPr="00EB021D">
        <w:t xml:space="preserve"> C, Holmes M, Sherman B.  Standards for Cannabis Testing Laboratories.  Cannabis Safety Institute. 2014 December.  </w:t>
      </w:r>
    </w:p>
    <w:p w:rsidR="00DB2C50" w:rsidRPr="00EB021D" w:rsidRDefault="00DB2C50" w:rsidP="00EB021D">
      <w:pPr>
        <w:pStyle w:val="References"/>
      </w:pPr>
      <w:proofErr w:type="spellStart"/>
      <w:r w:rsidRPr="00EB021D">
        <w:t>Raber</w:t>
      </w:r>
      <w:proofErr w:type="spellEnd"/>
      <w:r w:rsidRPr="00EB021D">
        <w:t xml:space="preserve"> J, </w:t>
      </w:r>
      <w:proofErr w:type="spellStart"/>
      <w:r w:rsidRPr="00EB021D">
        <w:t>Elzings</w:t>
      </w:r>
      <w:proofErr w:type="spellEnd"/>
      <w:r w:rsidRPr="00EB021D">
        <w:t xml:space="preserve"> S, Kaplan C.  Understanding dabs:  contamination concerns of cannabis concentrates and cannabinoid transfer during the act of dabbing.  The Journal of Toxicological Sciences.  Vol. 40, No. 6, 797-803, 2015 September.  </w:t>
      </w:r>
    </w:p>
    <w:p w:rsidR="00DB2C50" w:rsidRPr="00EB021D" w:rsidRDefault="00DB2C50" w:rsidP="00EB021D">
      <w:pPr>
        <w:pStyle w:val="References"/>
      </w:pPr>
      <w:r w:rsidRPr="00EB021D">
        <w:t xml:space="preserve">Aldous K, </w:t>
      </w:r>
      <w:proofErr w:type="spellStart"/>
      <w:r w:rsidRPr="00EB021D">
        <w:t>Applen</w:t>
      </w:r>
      <w:proofErr w:type="spellEnd"/>
      <w:r w:rsidRPr="00EB021D">
        <w:t xml:space="preserve"> J, Fan Z, Fox M, </w:t>
      </w:r>
      <w:proofErr w:type="spellStart"/>
      <w:r w:rsidRPr="00EB021D">
        <w:t>Kassner</w:t>
      </w:r>
      <w:proofErr w:type="spellEnd"/>
      <w:r w:rsidRPr="00EB021D">
        <w:t xml:space="preserve"> S, </w:t>
      </w:r>
      <w:proofErr w:type="spellStart"/>
      <w:r w:rsidRPr="00EB021D">
        <w:t>Latshaw</w:t>
      </w:r>
      <w:proofErr w:type="spellEnd"/>
      <w:r w:rsidRPr="00EB021D">
        <w:t xml:space="preserve"> M, </w:t>
      </w:r>
      <w:proofErr w:type="spellStart"/>
      <w:r w:rsidRPr="00EB021D">
        <w:t>Nascarella</w:t>
      </w:r>
      <w:proofErr w:type="spellEnd"/>
      <w:r w:rsidRPr="00EB021D">
        <w:t xml:space="preserve"> M, Starr G, </w:t>
      </w:r>
      <w:proofErr w:type="spellStart"/>
      <w:r w:rsidRPr="00EB021D">
        <w:t>Swantek</w:t>
      </w:r>
      <w:proofErr w:type="spellEnd"/>
      <w:r w:rsidRPr="00EB021D">
        <w:t xml:space="preserve"> S, </w:t>
      </w:r>
      <w:proofErr w:type="spellStart"/>
      <w:r w:rsidRPr="00EB021D">
        <w:t>Verbrugge</w:t>
      </w:r>
      <w:proofErr w:type="spellEnd"/>
      <w:r w:rsidRPr="00EB021D">
        <w:t xml:space="preserve">  D. Guidance for State Medical Cannabis Testing Programs.  Association of Public Health Laboratories.  2016 May.  </w:t>
      </w:r>
    </w:p>
    <w:p w:rsidR="00DB2C50" w:rsidRPr="00EB021D" w:rsidRDefault="00DB2C50" w:rsidP="00EB021D">
      <w:pPr>
        <w:pStyle w:val="References"/>
      </w:pPr>
      <w:r w:rsidRPr="00EB021D">
        <w:t xml:space="preserve">International Council for </w:t>
      </w:r>
      <w:proofErr w:type="spellStart"/>
      <w:r w:rsidRPr="00EB021D">
        <w:t>Harmonisation</w:t>
      </w:r>
      <w:proofErr w:type="spellEnd"/>
      <w:r w:rsidRPr="00EB021D">
        <w:t xml:space="preserve">.  Guidance for Industry: </w:t>
      </w:r>
      <w:proofErr w:type="gramStart"/>
      <w:r w:rsidRPr="00EB021D">
        <w:t>Q1A(</w:t>
      </w:r>
      <w:proofErr w:type="gramEnd"/>
      <w:r w:rsidRPr="00EB021D">
        <w:t xml:space="preserve">R2) Stability Testing of New Drug Substances and Products. 2003 November.  </w:t>
      </w:r>
    </w:p>
    <w:p w:rsidR="00DB2C50" w:rsidRDefault="00DB2C50" w:rsidP="00EB021D">
      <w:pPr>
        <w:pStyle w:val="References"/>
      </w:pPr>
      <w:proofErr w:type="spellStart"/>
      <w:r w:rsidRPr="00EB021D">
        <w:t>Tchounwou</w:t>
      </w:r>
      <w:proofErr w:type="spellEnd"/>
      <w:r w:rsidRPr="00EB021D">
        <w:t xml:space="preserve"> P, </w:t>
      </w:r>
      <w:proofErr w:type="spellStart"/>
      <w:r w:rsidRPr="00EB021D">
        <w:t>Yedjou</w:t>
      </w:r>
      <w:proofErr w:type="spellEnd"/>
      <w:r w:rsidRPr="00EB021D">
        <w:t xml:space="preserve"> C, </w:t>
      </w:r>
      <w:proofErr w:type="spellStart"/>
      <w:r w:rsidRPr="00EB021D">
        <w:t>Patlolla</w:t>
      </w:r>
      <w:proofErr w:type="spellEnd"/>
      <w:r w:rsidRPr="00EB021D">
        <w:t xml:space="preserve"> A, Sutton D.  Heavy Metals Toxicity and the Environment.  Molecular, Clinical and Environmental Toxicology.  Volume 101 of EXS, 133-164.  2012 April.</w:t>
      </w:r>
    </w:p>
    <w:p w:rsidR="008B4B75" w:rsidRPr="00EB021D" w:rsidRDefault="00421638" w:rsidP="00EB021D">
      <w:pPr>
        <w:pStyle w:val="References"/>
      </w:pPr>
      <w:r>
        <w:t xml:space="preserve">U.S. </w:t>
      </w:r>
      <w:r w:rsidR="00F65309">
        <w:t>Pharmacopeia</w:t>
      </w:r>
      <w:r>
        <w:t xml:space="preserve"> Convention (USP).  Chemical Tests / 561 Articles of Botanical Origin.  2014 July.</w:t>
      </w:r>
    </w:p>
    <w:p w:rsidR="00DB2C50" w:rsidRPr="00EB021D" w:rsidRDefault="00DB2C50" w:rsidP="00EB021D">
      <w:pPr>
        <w:pStyle w:val="References"/>
      </w:pPr>
    </w:p>
    <w:sectPr w:rsidR="00DB2C50" w:rsidRPr="00EB021D" w:rsidSect="00DB2C50">
      <w:pgSz w:w="12240" w:h="15840" w:code="1"/>
      <w:pgMar w:top="1440" w:right="1440" w:bottom="1440" w:left="144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09" w:rsidRDefault="00F65309" w:rsidP="00DB2C50">
      <w:r>
        <w:separator/>
      </w:r>
    </w:p>
  </w:endnote>
  <w:endnote w:type="continuationSeparator" w:id="0">
    <w:p w:rsidR="00F65309" w:rsidRDefault="00F65309" w:rsidP="00DB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09" w:rsidRDefault="00F65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09" w:rsidRDefault="00F65309" w:rsidP="00DB2C50">
      <w:r>
        <w:separator/>
      </w:r>
    </w:p>
  </w:footnote>
  <w:footnote w:type="continuationSeparator" w:id="0">
    <w:p w:rsidR="00F65309" w:rsidRDefault="00F65309" w:rsidP="00DB2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09" w:rsidRDefault="00F65309" w:rsidP="00DB2C50">
    <w:pPr>
      <w:pStyle w:val="Header"/>
    </w:pPr>
    <w:r>
      <w:rPr>
        <w:noProof/>
        <w:lang w:eastAsia="en-US"/>
      </w:rPr>
      <mc:AlternateContent>
        <mc:Choice Requires="wps">
          <w:drawing>
            <wp:anchor distT="0" distB="0" distL="114300" distR="114300" simplePos="0" relativeHeight="251658240" behindDoc="0" locked="0" layoutInCell="1" allowOverlap="1" wp14:anchorId="2A6C40CE" wp14:editId="15FEDF0D">
              <wp:simplePos x="0" y="0"/>
              <wp:positionH relativeFrom="leftMargin">
                <wp:align>right</wp:align>
              </wp:positionH>
              <wp:positionV relativeFrom="bottomMargin">
                <wp:align>top</wp:align>
              </wp:positionV>
              <wp:extent cx="338328" cy="310896"/>
              <wp:effectExtent l="0" t="0" r="5080" b="13335"/>
              <wp:wrapNone/>
              <wp:docPr id="58" name="Text Box 58"/>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309" w:rsidRDefault="00F65309" w:rsidP="00895AD0">
                          <w:pPr>
                            <w:pStyle w:val="Footer"/>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C40CE" id="_x0000_t202" coordsize="21600,21600" o:spt="202" path="m,l,21600r21600,l21600,xe">
              <v:stroke joinstyle="miter"/>
              <v:path gradientshapeok="t" o:connecttype="rect"/>
            </v:shapetype>
            <v:shape id="Text Box 58" o:spid="_x0000_s1026" type="#_x0000_t202" style="position:absolute;margin-left:-24.55pt;margin-top:0;width:26.65pt;height:24.5pt;z-index:251658240;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" filled="f" stroked="f" strokeweight=".5pt">
              <v:textbox inset="0,0,0,0">
                <w:txbxContent>
                  <w:p w:rsidR="00F65309" w:rsidRDefault="00F65309" w:rsidP="00895AD0">
                    <w:pPr>
                      <w:pStyle w:val="Footer"/>
                      <w:jc w:val="cente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09" w:rsidRDefault="00F65309" w:rsidP="00DB2C50">
    <w:pPr>
      <w:pStyle w:val="Header"/>
    </w:pPr>
    <w:r>
      <w:rPr>
        <w:noProof/>
        <w:lang w:eastAsia="en-US"/>
      </w:rPr>
      <mc:AlternateContent>
        <mc:Choice Requires="wps">
          <w:drawing>
            <wp:anchor distT="0" distB="0" distL="114300" distR="114300" simplePos="0" relativeHeight="251661312" behindDoc="0" locked="0" layoutInCell="1" allowOverlap="1" wp14:anchorId="6164C3C0" wp14:editId="71B67DB4">
              <wp:simplePos x="0" y="0"/>
              <wp:positionH relativeFrom="leftMargin">
                <wp:align>right</wp:align>
              </wp:positionH>
              <wp:positionV relativeFrom="bottomMargin">
                <wp:align>top</wp:align>
              </wp:positionV>
              <wp:extent cx="338328" cy="310896"/>
              <wp:effectExtent l="0" t="0" r="5080" b="13335"/>
              <wp:wrapNone/>
              <wp:docPr id="57" name="Text Box 57"/>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309" w:rsidRDefault="00F65309" w:rsidP="00DB2C50">
                          <w:pPr>
                            <w:pStyle w:val="Footer"/>
                          </w:pPr>
                          <w:r>
                            <w:fldChar w:fldCharType="begin"/>
                          </w:r>
                          <w:r>
                            <w:instrText xml:space="preserve"> PAGE   \* MERGEFORMAT </w:instrText>
                          </w:r>
                          <w:r>
                            <w:fldChar w:fldCharType="separate"/>
                          </w:r>
                          <w:r w:rsidR="001C7B50">
                            <w:t>1</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4C3C0" id="_x0000_t202" coordsize="21600,21600" o:spt="202" path="m,l,21600r21600,l21600,xe">
              <v:stroke joinstyle="miter"/>
              <v:path gradientshapeok="t" o:connecttype="rect"/>
            </v:shapetype>
            <v:shape id="Text Box 57" o:spid="_x0000_s1027" type="#_x0000_t202" style="position:absolute;margin-left:-24.55pt;margin-top:0;width:26.65pt;height:24.5pt;z-index:251661312;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" filled="f" stroked="f" strokeweight=".5pt">
              <v:textbox inset="0,0,0,0">
                <w:txbxContent>
                  <w:p w:rsidR="00F65309" w:rsidRDefault="00F65309" w:rsidP="00DB2C50">
                    <w:pPr>
                      <w:pStyle w:val="Footer"/>
                    </w:pPr>
                    <w:r>
                      <w:fldChar w:fldCharType="begin"/>
                    </w:r>
                    <w:r>
                      <w:instrText xml:space="preserve"> PAGE   \* MERGEFORMAT </w:instrText>
                    </w:r>
                    <w:r>
                      <w:fldChar w:fldCharType="separate"/>
                    </w:r>
                    <w:r w:rsidR="001C7B50">
                      <w:t>1</w:t>
                    </w:r>
                    <w:r>
                      <w:fldChar w:fldCharType="end"/>
                    </w:r>
                  </w:p>
                </w:txbxContent>
              </v:textbox>
              <w10:wrap anchorx="margin" anchory="margin"/>
            </v:shape>
          </w:pict>
        </mc:Fallback>
      </mc:AlternateContent>
    </w:r>
    <w:r w:rsidR="003F20CF">
      <w:t>MMCC</w:t>
    </w:r>
    <w:r w:rsidR="00122560">
      <w:t>’s</w:t>
    </w:r>
    <w:r w:rsidR="003F20CF">
      <w:t xml:space="preserve"> TECHNICAL AUTHORITY FOR MEDICAL CANNABIS TESTING</w:t>
    </w:r>
    <w:r w:rsidR="003F20CF">
      <w:tab/>
      <w:t xml:space="preserve"> May 30</w:t>
    </w:r>
    <w:r>
      <w:t>,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62B50"/>
    <w:multiLevelType w:val="hybridMultilevel"/>
    <w:tmpl w:val="13445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535D55"/>
    <w:multiLevelType w:val="hybridMultilevel"/>
    <w:tmpl w:val="4DD07E10"/>
    <w:lvl w:ilvl="0" w:tplc="F3B27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40B78"/>
    <w:multiLevelType w:val="hybridMultilevel"/>
    <w:tmpl w:val="665E90B8"/>
    <w:lvl w:ilvl="0" w:tplc="2C7A8ADE">
      <w:numFmt w:val="bullet"/>
      <w:lvlText w:val=""/>
      <w:lvlJc w:val="left"/>
      <w:pPr>
        <w:ind w:left="36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D276A"/>
    <w:multiLevelType w:val="hybridMultilevel"/>
    <w:tmpl w:val="7BC82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D567C"/>
    <w:multiLevelType w:val="hybridMultilevel"/>
    <w:tmpl w:val="28C094E2"/>
    <w:lvl w:ilvl="0" w:tplc="2C7A8ADE">
      <w:numFmt w:val="bullet"/>
      <w:lvlText w:val=""/>
      <w:lvlJc w:val="left"/>
      <w:pPr>
        <w:ind w:left="36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656DC"/>
    <w:multiLevelType w:val="hybridMultilevel"/>
    <w:tmpl w:val="18CE06F0"/>
    <w:lvl w:ilvl="0" w:tplc="F5CAF1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C4DEE"/>
    <w:multiLevelType w:val="hybridMultilevel"/>
    <w:tmpl w:val="AF0CF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2003B"/>
    <w:multiLevelType w:val="hybridMultilevel"/>
    <w:tmpl w:val="325C82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DE2D31"/>
    <w:multiLevelType w:val="hybridMultilevel"/>
    <w:tmpl w:val="D798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A36EE"/>
    <w:multiLevelType w:val="hybridMultilevel"/>
    <w:tmpl w:val="FBEACD9E"/>
    <w:lvl w:ilvl="0" w:tplc="F5CAF1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B0011"/>
    <w:multiLevelType w:val="hybridMultilevel"/>
    <w:tmpl w:val="03DEB41E"/>
    <w:lvl w:ilvl="0" w:tplc="2C7A8ADE">
      <w:numFmt w:val="bullet"/>
      <w:lvlText w:val=""/>
      <w:lvlJc w:val="left"/>
      <w:pPr>
        <w:ind w:left="360" w:hanging="360"/>
      </w:pPr>
      <w:rPr>
        <w:rFonts w:ascii="Symbol" w:eastAsiaTheme="minorHAnsi" w:hAnsi="Symbol" w:cstheme="minorBid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554A02"/>
    <w:multiLevelType w:val="hybridMultilevel"/>
    <w:tmpl w:val="90E8BCBE"/>
    <w:lvl w:ilvl="0" w:tplc="2C7A8ADE">
      <w:numFmt w:val="bullet"/>
      <w:lvlText w:val=""/>
      <w:lvlJc w:val="left"/>
      <w:pPr>
        <w:ind w:left="360" w:hanging="360"/>
      </w:pPr>
      <w:rPr>
        <w:rFonts w:ascii="Symbol" w:eastAsiaTheme="minorHAnsi" w:hAnsi="Symbol" w:cstheme="minorBidi" w:hint="default"/>
        <w:sz w:val="20"/>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E5B1F"/>
    <w:multiLevelType w:val="hybridMultilevel"/>
    <w:tmpl w:val="4B520898"/>
    <w:lvl w:ilvl="0" w:tplc="CC8458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CA3AD0"/>
    <w:multiLevelType w:val="hybridMultilevel"/>
    <w:tmpl w:val="3802FA98"/>
    <w:lvl w:ilvl="0" w:tplc="3EB88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4C1CE9"/>
    <w:multiLevelType w:val="hybridMultilevel"/>
    <w:tmpl w:val="3C6EA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92CDE"/>
    <w:multiLevelType w:val="hybridMultilevel"/>
    <w:tmpl w:val="CDBAD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BA2DA4"/>
    <w:multiLevelType w:val="hybridMultilevel"/>
    <w:tmpl w:val="695C5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30390"/>
    <w:multiLevelType w:val="hybridMultilevel"/>
    <w:tmpl w:val="AC38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F7864"/>
    <w:multiLevelType w:val="hybridMultilevel"/>
    <w:tmpl w:val="ADC00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010C2"/>
    <w:multiLevelType w:val="hybridMultilevel"/>
    <w:tmpl w:val="4B34855C"/>
    <w:lvl w:ilvl="0" w:tplc="F5CAF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A2A9D"/>
    <w:multiLevelType w:val="hybridMultilevel"/>
    <w:tmpl w:val="343E92CC"/>
    <w:lvl w:ilvl="0" w:tplc="0A9C65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545DA"/>
    <w:multiLevelType w:val="hybridMultilevel"/>
    <w:tmpl w:val="E168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32581"/>
    <w:multiLevelType w:val="hybridMultilevel"/>
    <w:tmpl w:val="EED40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903C81"/>
    <w:multiLevelType w:val="hybridMultilevel"/>
    <w:tmpl w:val="FD66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292242"/>
    <w:multiLevelType w:val="hybridMultilevel"/>
    <w:tmpl w:val="DED07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004433"/>
    <w:multiLevelType w:val="hybridMultilevel"/>
    <w:tmpl w:val="5BBEF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22"/>
    <w:lvlOverride w:ilvl="0">
      <w:startOverride w:val="1"/>
    </w:lvlOverride>
  </w:num>
  <w:num w:numId="4">
    <w:abstractNumId w:val="27"/>
  </w:num>
  <w:num w:numId="5">
    <w:abstractNumId w:val="23"/>
  </w:num>
  <w:num w:numId="6">
    <w:abstractNumId w:val="11"/>
  </w:num>
  <w:num w:numId="7">
    <w:abstractNumId w:val="12"/>
  </w:num>
  <w:num w:numId="8">
    <w:abstractNumId w:val="19"/>
  </w:num>
  <w:num w:numId="9">
    <w:abstractNumId w:val="16"/>
  </w:num>
  <w:num w:numId="10">
    <w:abstractNumId w:val="18"/>
  </w:num>
  <w:num w:numId="11">
    <w:abstractNumId w:val="8"/>
  </w:num>
  <w:num w:numId="12">
    <w:abstractNumId w:val="7"/>
  </w:num>
  <w:num w:numId="13">
    <w:abstractNumId w:val="1"/>
  </w:num>
  <w:num w:numId="14">
    <w:abstractNumId w:val="9"/>
  </w:num>
  <w:num w:numId="15">
    <w:abstractNumId w:val="24"/>
  </w:num>
  <w:num w:numId="16">
    <w:abstractNumId w:val="17"/>
  </w:num>
  <w:num w:numId="17">
    <w:abstractNumId w:val="26"/>
  </w:num>
  <w:num w:numId="18">
    <w:abstractNumId w:val="5"/>
  </w:num>
  <w:num w:numId="19">
    <w:abstractNumId w:val="3"/>
  </w:num>
  <w:num w:numId="20">
    <w:abstractNumId w:val="4"/>
  </w:num>
  <w:num w:numId="21">
    <w:abstractNumId w:val="20"/>
  </w:num>
  <w:num w:numId="22">
    <w:abstractNumId w:val="10"/>
  </w:num>
  <w:num w:numId="23">
    <w:abstractNumId w:val="25"/>
  </w:num>
  <w:num w:numId="24">
    <w:abstractNumId w:val="6"/>
  </w:num>
  <w:num w:numId="25">
    <w:abstractNumId w:val="15"/>
  </w:num>
  <w:num w:numId="26">
    <w:abstractNumId w:val="13"/>
  </w:num>
  <w:num w:numId="27">
    <w:abstractNumId w:val="2"/>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41"/>
    <w:rsid w:val="000C795D"/>
    <w:rsid w:val="00100B23"/>
    <w:rsid w:val="00122560"/>
    <w:rsid w:val="00125DBB"/>
    <w:rsid w:val="001569B8"/>
    <w:rsid w:val="00176C42"/>
    <w:rsid w:val="001A4136"/>
    <w:rsid w:val="001B009D"/>
    <w:rsid w:val="001C418A"/>
    <w:rsid w:val="001C7B50"/>
    <w:rsid w:val="001F71E1"/>
    <w:rsid w:val="0020129C"/>
    <w:rsid w:val="00201EBF"/>
    <w:rsid w:val="0023032A"/>
    <w:rsid w:val="00247DF0"/>
    <w:rsid w:val="0028037A"/>
    <w:rsid w:val="00297E41"/>
    <w:rsid w:val="002B05F4"/>
    <w:rsid w:val="002B087C"/>
    <w:rsid w:val="002E1359"/>
    <w:rsid w:val="002F0DA9"/>
    <w:rsid w:val="002F674A"/>
    <w:rsid w:val="00321FBD"/>
    <w:rsid w:val="003375D4"/>
    <w:rsid w:val="00354944"/>
    <w:rsid w:val="003D1931"/>
    <w:rsid w:val="003F20CF"/>
    <w:rsid w:val="00421638"/>
    <w:rsid w:val="004354B3"/>
    <w:rsid w:val="0048294C"/>
    <w:rsid w:val="004B2689"/>
    <w:rsid w:val="004C7329"/>
    <w:rsid w:val="00504AED"/>
    <w:rsid w:val="00513BF3"/>
    <w:rsid w:val="00523180"/>
    <w:rsid w:val="00557445"/>
    <w:rsid w:val="00574FFA"/>
    <w:rsid w:val="005F56FE"/>
    <w:rsid w:val="00605ECB"/>
    <w:rsid w:val="00606D22"/>
    <w:rsid w:val="0063033A"/>
    <w:rsid w:val="00647ADF"/>
    <w:rsid w:val="00694ED7"/>
    <w:rsid w:val="006E4EA7"/>
    <w:rsid w:val="00731E71"/>
    <w:rsid w:val="007C0C8F"/>
    <w:rsid w:val="007C1A9F"/>
    <w:rsid w:val="007C542B"/>
    <w:rsid w:val="007F02B7"/>
    <w:rsid w:val="00821C0F"/>
    <w:rsid w:val="00895AD0"/>
    <w:rsid w:val="008B25CB"/>
    <w:rsid w:val="008B4B75"/>
    <w:rsid w:val="008E040D"/>
    <w:rsid w:val="008E129D"/>
    <w:rsid w:val="008E2B7A"/>
    <w:rsid w:val="00923735"/>
    <w:rsid w:val="00947BD6"/>
    <w:rsid w:val="00973875"/>
    <w:rsid w:val="00982B9F"/>
    <w:rsid w:val="00984AC5"/>
    <w:rsid w:val="00994C86"/>
    <w:rsid w:val="009A1BC5"/>
    <w:rsid w:val="009B134D"/>
    <w:rsid w:val="009B4836"/>
    <w:rsid w:val="009B5C06"/>
    <w:rsid w:val="009C348C"/>
    <w:rsid w:val="009E4770"/>
    <w:rsid w:val="00A075AE"/>
    <w:rsid w:val="00A33D14"/>
    <w:rsid w:val="00A74551"/>
    <w:rsid w:val="00A814C9"/>
    <w:rsid w:val="00A915D3"/>
    <w:rsid w:val="00AA1B19"/>
    <w:rsid w:val="00AC437C"/>
    <w:rsid w:val="00AD6CB8"/>
    <w:rsid w:val="00AE22D8"/>
    <w:rsid w:val="00B02E53"/>
    <w:rsid w:val="00BA4611"/>
    <w:rsid w:val="00BC3D7E"/>
    <w:rsid w:val="00BC5E50"/>
    <w:rsid w:val="00BE316A"/>
    <w:rsid w:val="00BF0B84"/>
    <w:rsid w:val="00C566B0"/>
    <w:rsid w:val="00C9416C"/>
    <w:rsid w:val="00CC7EDD"/>
    <w:rsid w:val="00CD306B"/>
    <w:rsid w:val="00D032F8"/>
    <w:rsid w:val="00D4403A"/>
    <w:rsid w:val="00D66151"/>
    <w:rsid w:val="00D93E1C"/>
    <w:rsid w:val="00DB2C50"/>
    <w:rsid w:val="00E15264"/>
    <w:rsid w:val="00E40A2F"/>
    <w:rsid w:val="00EB021D"/>
    <w:rsid w:val="00EF7D53"/>
    <w:rsid w:val="00F06C92"/>
    <w:rsid w:val="00F14599"/>
    <w:rsid w:val="00F171DB"/>
    <w:rsid w:val="00F24374"/>
    <w:rsid w:val="00F473A1"/>
    <w:rsid w:val="00F65309"/>
    <w:rsid w:val="00F6539D"/>
    <w:rsid w:val="00F73CBD"/>
    <w:rsid w:val="00F7678D"/>
    <w:rsid w:val="00FD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4ADAFA2-8CE4-4900-91EC-58FA2336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C50"/>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noparatext">
    <w:name w:val="no para text"/>
    <w:basedOn w:val="Normal"/>
    <w:link w:val="noparatextChar"/>
    <w:qFormat/>
    <w:rsid w:val="00A33D14"/>
    <w:pPr>
      <w:spacing w:after="0"/>
    </w:pPr>
  </w:style>
  <w:style w:type="paragraph" w:customStyle="1" w:styleId="References">
    <w:name w:val="References"/>
    <w:basedOn w:val="Normal"/>
    <w:link w:val="ReferencesChar"/>
    <w:qFormat/>
    <w:rsid w:val="00EB021D"/>
    <w:pPr>
      <w:ind w:left="720" w:hanging="720"/>
    </w:pPr>
  </w:style>
  <w:style w:type="character" w:customStyle="1" w:styleId="noparatextChar">
    <w:name w:val="no para text Char"/>
    <w:basedOn w:val="DefaultParagraphFont"/>
    <w:link w:val="noparatext"/>
    <w:rsid w:val="00A33D14"/>
  </w:style>
  <w:style w:type="paragraph" w:styleId="ListParagraph">
    <w:name w:val="List Paragraph"/>
    <w:basedOn w:val="Normal"/>
    <w:uiPriority w:val="34"/>
    <w:unhideWhenUsed/>
    <w:qFormat/>
    <w:rsid w:val="00A33D14"/>
    <w:pPr>
      <w:ind w:left="720"/>
      <w:contextualSpacing/>
    </w:pPr>
  </w:style>
  <w:style w:type="character" w:customStyle="1" w:styleId="ReferencesChar">
    <w:name w:val="References Char"/>
    <w:basedOn w:val="DefaultParagraphFont"/>
    <w:link w:val="References"/>
    <w:rsid w:val="00EB021D"/>
  </w:style>
  <w:style w:type="paragraph" w:styleId="Caption">
    <w:name w:val="caption"/>
    <w:basedOn w:val="Normal"/>
    <w:next w:val="Normal"/>
    <w:uiPriority w:val="35"/>
    <w:unhideWhenUsed/>
    <w:qFormat/>
    <w:rsid w:val="00DB2C50"/>
    <w:pPr>
      <w:spacing w:after="200" w:line="240" w:lineRule="auto"/>
    </w:pPr>
    <w:rPr>
      <w:i/>
      <w:iCs/>
      <w:color w:val="2C283A" w:themeColor="text2"/>
    </w:rPr>
  </w:style>
  <w:style w:type="paragraph" w:customStyle="1" w:styleId="CoverHeader">
    <w:name w:val="Cover Header"/>
    <w:link w:val="CoverHeaderChar"/>
    <w:qFormat/>
    <w:rsid w:val="00895AD0"/>
    <w:rPr>
      <w:b/>
      <w:bCs/>
      <w:caps/>
      <w:color w:val="1F4E79" w:themeColor="accent1" w:themeShade="80"/>
      <w:sz w:val="28"/>
      <w:szCs w:val="28"/>
    </w:rPr>
  </w:style>
  <w:style w:type="paragraph" w:customStyle="1" w:styleId="CoverHeader2">
    <w:name w:val="Cover Header 2"/>
    <w:link w:val="CoverHeader2Char"/>
    <w:qFormat/>
    <w:rsid w:val="00895AD0"/>
    <w:rPr>
      <w:b/>
      <w:bCs/>
      <w:color w:val="5B9BD5" w:themeColor="accent1"/>
      <w:sz w:val="24"/>
      <w:szCs w:val="24"/>
    </w:rPr>
  </w:style>
  <w:style w:type="character" w:customStyle="1" w:styleId="CoverHeaderChar">
    <w:name w:val="Cover Header Char"/>
    <w:basedOn w:val="Heading1Char"/>
    <w:link w:val="CoverHeader"/>
    <w:rsid w:val="00895AD0"/>
    <w:rPr>
      <w:b/>
      <w:bCs/>
      <w:caps/>
      <w:color w:val="1F4E79" w:themeColor="accent1" w:themeShade="80"/>
      <w:sz w:val="28"/>
      <w:szCs w:val="28"/>
    </w:rPr>
  </w:style>
  <w:style w:type="paragraph" w:styleId="TOCHeading">
    <w:name w:val="TOC Heading"/>
    <w:basedOn w:val="Heading1"/>
    <w:next w:val="Normal"/>
    <w:uiPriority w:val="39"/>
    <w:unhideWhenUsed/>
    <w:qFormat/>
    <w:rsid w:val="00895AD0"/>
    <w:pPr>
      <w:spacing w:before="240" w:after="0" w:line="259" w:lineRule="auto"/>
      <w:outlineLvl w:val="9"/>
    </w:pPr>
    <w:rPr>
      <w:rFonts w:asciiTheme="majorHAnsi" w:eastAsiaTheme="majorEastAsia" w:hAnsiTheme="majorHAnsi" w:cstheme="majorBidi"/>
      <w:b w:val="0"/>
      <w:bCs w:val="0"/>
      <w:caps w:val="0"/>
      <w:color w:val="2E74B5" w:themeColor="accent1" w:themeShade="BF"/>
      <w:sz w:val="32"/>
      <w:szCs w:val="32"/>
      <w:lang w:eastAsia="en-US"/>
    </w:rPr>
  </w:style>
  <w:style w:type="character" w:customStyle="1" w:styleId="CoverHeader2Char">
    <w:name w:val="Cover Header 2 Char"/>
    <w:basedOn w:val="Heading2Char"/>
    <w:link w:val="CoverHeader2"/>
    <w:rsid w:val="00895AD0"/>
    <w:rPr>
      <w:b/>
      <w:bCs/>
      <w:color w:val="5B9BD5" w:themeColor="accent1"/>
      <w:sz w:val="24"/>
      <w:szCs w:val="24"/>
    </w:rPr>
  </w:style>
  <w:style w:type="paragraph" w:styleId="TOC1">
    <w:name w:val="toc 1"/>
    <w:basedOn w:val="Normal"/>
    <w:next w:val="Normal"/>
    <w:autoRedefine/>
    <w:uiPriority w:val="39"/>
    <w:unhideWhenUsed/>
    <w:qFormat/>
    <w:rsid w:val="00895AD0"/>
    <w:pPr>
      <w:spacing w:after="100"/>
    </w:pPr>
  </w:style>
  <w:style w:type="paragraph" w:styleId="TOC2">
    <w:name w:val="toc 2"/>
    <w:basedOn w:val="Normal"/>
    <w:next w:val="Normal"/>
    <w:autoRedefine/>
    <w:uiPriority w:val="39"/>
    <w:unhideWhenUsed/>
    <w:qFormat/>
    <w:rsid w:val="00895AD0"/>
    <w:pPr>
      <w:spacing w:after="100"/>
      <w:ind w:left="180"/>
    </w:pPr>
  </w:style>
  <w:style w:type="character" w:styleId="Hyperlink">
    <w:name w:val="Hyperlink"/>
    <w:basedOn w:val="DefaultParagraphFont"/>
    <w:uiPriority w:val="99"/>
    <w:unhideWhenUsed/>
    <w:rsid w:val="00895AD0"/>
    <w:rPr>
      <w:color w:val="40ACD1" w:themeColor="hyperlink"/>
      <w:u w:val="single"/>
    </w:rPr>
  </w:style>
  <w:style w:type="paragraph" w:styleId="BalloonText">
    <w:name w:val="Balloon Text"/>
    <w:basedOn w:val="Normal"/>
    <w:link w:val="BalloonTextChar"/>
    <w:uiPriority w:val="99"/>
    <w:semiHidden/>
    <w:unhideWhenUsed/>
    <w:rsid w:val="009C3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48C"/>
    <w:rPr>
      <w:rFonts w:ascii="Tahoma" w:hAnsi="Tahoma" w:cs="Tahoma"/>
      <w:sz w:val="16"/>
      <w:szCs w:val="16"/>
    </w:rPr>
  </w:style>
  <w:style w:type="paragraph" w:styleId="TOC3">
    <w:name w:val="toc 3"/>
    <w:basedOn w:val="Normal"/>
    <w:next w:val="Normal"/>
    <w:autoRedefine/>
    <w:uiPriority w:val="39"/>
    <w:unhideWhenUsed/>
    <w:qFormat/>
    <w:rsid w:val="009C348C"/>
    <w:pPr>
      <w:spacing w:after="100" w:line="276" w:lineRule="auto"/>
      <w:ind w:left="440"/>
    </w:pPr>
    <w:rPr>
      <w:rFonts w:eastAsiaTheme="minorEastAsia"/>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0582">
      <w:bodyDiv w:val="1"/>
      <w:marLeft w:val="0"/>
      <w:marRight w:val="0"/>
      <w:marTop w:val="0"/>
      <w:marBottom w:val="0"/>
      <w:divBdr>
        <w:top w:val="none" w:sz="0" w:space="0" w:color="auto"/>
        <w:left w:val="none" w:sz="0" w:space="0" w:color="auto"/>
        <w:bottom w:val="none" w:sz="0" w:space="0" w:color="auto"/>
        <w:right w:val="none" w:sz="0" w:space="0" w:color="auto"/>
      </w:divBdr>
    </w:div>
    <w:div w:id="1294292783">
      <w:bodyDiv w:val="1"/>
      <w:marLeft w:val="0"/>
      <w:marRight w:val="0"/>
      <w:marTop w:val="0"/>
      <w:marBottom w:val="0"/>
      <w:divBdr>
        <w:top w:val="none" w:sz="0" w:space="0" w:color="auto"/>
        <w:left w:val="none" w:sz="0" w:space="0" w:color="auto"/>
        <w:bottom w:val="none" w:sz="0" w:space="0" w:color="auto"/>
        <w:right w:val="none" w:sz="0" w:space="0" w:color="auto"/>
      </w:divBdr>
    </w:div>
    <w:div w:id="1459571535">
      <w:bodyDiv w:val="1"/>
      <w:marLeft w:val="0"/>
      <w:marRight w:val="0"/>
      <w:marTop w:val="0"/>
      <w:marBottom w:val="0"/>
      <w:divBdr>
        <w:top w:val="none" w:sz="0" w:space="0" w:color="auto"/>
        <w:left w:val="none" w:sz="0" w:space="0" w:color="auto"/>
        <w:bottom w:val="none" w:sz="0" w:space="0" w:color="auto"/>
        <w:right w:val="none" w:sz="0" w:space="0" w:color="auto"/>
      </w:divBdr>
    </w:div>
    <w:div w:id="16258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dodson1\AppData\Roaming\Microsoft\Templates\Services%20proposal%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BE112E3D91994A9A4C432FE599511B" ma:contentTypeVersion="2" ma:contentTypeDescription="Create a new document." ma:contentTypeScope="" ma:versionID="f91421d8a5300afb46eebbec2adc31b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09571-D7CE-4A47-AD82-B61DEC644446}"/>
</file>

<file path=customXml/itemProps2.xml><?xml version="1.0" encoding="utf-8"?>
<ds:datastoreItem xmlns:ds="http://schemas.openxmlformats.org/officeDocument/2006/customXml" ds:itemID="{228C1352-D9F8-4F07-8268-991493E02580}"/>
</file>

<file path=customXml/itemProps3.xml><?xml version="1.0" encoding="utf-8"?>
<ds:datastoreItem xmlns:ds="http://schemas.openxmlformats.org/officeDocument/2006/customXml" ds:itemID="{74F9419C-76D8-4AAA-AF7E-06724F685420}"/>
</file>

<file path=customXml/itemProps4.xml><?xml version="1.0" encoding="utf-8"?>
<ds:datastoreItem xmlns:ds="http://schemas.openxmlformats.org/officeDocument/2006/customXml" ds:itemID="{92A43FFD-3CCA-4BF0-934B-8323F06249D6}"/>
</file>

<file path=docProps/app.xml><?xml version="1.0" encoding="utf-8"?>
<Properties xmlns="http://schemas.openxmlformats.org/officeDocument/2006/extended-properties" xmlns:vt="http://schemas.openxmlformats.org/officeDocument/2006/docPropsVTypes">
  <Template>Services proposal (Business Blue design).dotx</Template>
  <TotalTime>0</TotalTime>
  <Pages>15</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smoore</dc:creator>
  <cp:lastModifiedBy>Windows User</cp:lastModifiedBy>
  <cp:revision>2</cp:revision>
  <cp:lastPrinted>2018-01-19T20:15:00Z</cp:lastPrinted>
  <dcterms:created xsi:type="dcterms:W3CDTF">2019-03-25T17:57:00Z</dcterms:created>
  <dcterms:modified xsi:type="dcterms:W3CDTF">2019-03-25T17:57:00Z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ContentTypeId">
    <vt:lpwstr>0x010100CFBE112E3D91994A9A4C432FE599511B</vt:lpwstr>
  </property>
</Properties>
</file>